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6E" w:rsidRPr="006944FA" w:rsidRDefault="00FF766E" w:rsidP="00FF766E">
      <w:pPr>
        <w:spacing w:after="200" w:line="276" w:lineRule="auto"/>
        <w:jc w:val="center"/>
        <w:rPr>
          <w:rFonts w:ascii="Calibri" w:eastAsia="Calibri" w:hAnsi="Calibri"/>
          <w:sz w:val="22"/>
        </w:rPr>
      </w:pPr>
      <w:r w:rsidRPr="006944FA">
        <w:rPr>
          <w:rFonts w:ascii="Calibri" w:eastAsia="Calibri" w:hAnsi="Calibri"/>
          <w:noProof/>
          <w:sz w:val="22"/>
          <w:lang w:eastAsia="hr-HR"/>
        </w:rPr>
        <w:drawing>
          <wp:inline distT="0" distB="0" distL="0" distR="0" wp14:anchorId="1E661B51" wp14:editId="4E32AF0B">
            <wp:extent cx="50482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4FA">
        <w:rPr>
          <w:rFonts w:ascii="Calibri" w:eastAsia="Calibri" w:hAnsi="Calibri"/>
          <w:sz w:val="22"/>
        </w:rPr>
        <w:fldChar w:fldCharType="begin"/>
      </w:r>
      <w:r w:rsidRPr="006944FA">
        <w:rPr>
          <w:rFonts w:ascii="Calibri" w:eastAsia="Calibri" w:hAnsi="Calibri"/>
          <w:sz w:val="22"/>
        </w:rPr>
        <w:instrText xml:space="preserve"> INCLUDEPICTURE "http://www.inet.hr/~box/images/grb-rh.gif" \* MERGEFORMATINET </w:instrText>
      </w:r>
      <w:r w:rsidRPr="006944FA">
        <w:rPr>
          <w:rFonts w:ascii="Calibri" w:eastAsia="Calibri" w:hAnsi="Calibri"/>
          <w:sz w:val="22"/>
        </w:rPr>
        <w:fldChar w:fldCharType="end"/>
      </w:r>
    </w:p>
    <w:p w:rsidR="00FF766E" w:rsidRPr="00152074" w:rsidRDefault="00FF766E" w:rsidP="00FF766E">
      <w:pPr>
        <w:spacing w:before="60" w:after="1680" w:line="276" w:lineRule="auto"/>
        <w:jc w:val="center"/>
        <w:rPr>
          <w:rFonts w:ascii="Times New Roman" w:eastAsia="Calibri" w:hAnsi="Times New Roman"/>
        </w:rPr>
      </w:pPr>
      <w:r w:rsidRPr="00152074">
        <w:rPr>
          <w:rFonts w:ascii="Times New Roman" w:eastAsia="Calibri" w:hAnsi="Times New Roman"/>
        </w:rPr>
        <w:t>VLADA REPUBLIKE HRVATSKE</w:t>
      </w:r>
    </w:p>
    <w:p w:rsidR="00FF766E" w:rsidRPr="00152074" w:rsidRDefault="00FF766E" w:rsidP="00FF766E">
      <w:pPr>
        <w:spacing w:after="200" w:line="276" w:lineRule="auto"/>
        <w:rPr>
          <w:rFonts w:ascii="Times New Roman" w:eastAsia="Calibri" w:hAnsi="Times New Roman"/>
        </w:rPr>
      </w:pPr>
    </w:p>
    <w:p w:rsidR="00FF766E" w:rsidRPr="0043677B" w:rsidRDefault="00FF766E" w:rsidP="00FF766E">
      <w:pPr>
        <w:spacing w:after="200" w:line="276" w:lineRule="auto"/>
        <w:jc w:val="right"/>
        <w:rPr>
          <w:rFonts w:ascii="Times New Roman" w:eastAsia="Calibri" w:hAnsi="Times New Roman"/>
        </w:rPr>
      </w:pPr>
      <w:r w:rsidRPr="0043677B">
        <w:rPr>
          <w:rFonts w:ascii="Times New Roman" w:eastAsia="Calibri" w:hAnsi="Times New Roman"/>
        </w:rPr>
        <w:t xml:space="preserve">Zagreb, </w:t>
      </w:r>
      <w:r w:rsidR="008F4734">
        <w:rPr>
          <w:rFonts w:ascii="Times New Roman" w:eastAsia="Calibri" w:hAnsi="Times New Roman"/>
        </w:rPr>
        <w:t xml:space="preserve">14. srpnja </w:t>
      </w:r>
      <w:r w:rsidRPr="0043677B">
        <w:rPr>
          <w:rFonts w:ascii="Times New Roman" w:eastAsia="Calibri" w:hAnsi="Times New Roman"/>
        </w:rPr>
        <w:t>2022.</w:t>
      </w:r>
    </w:p>
    <w:p w:rsidR="00FF766E" w:rsidRPr="0043677B" w:rsidRDefault="00FF766E" w:rsidP="00FF766E">
      <w:pPr>
        <w:spacing w:after="200" w:line="276" w:lineRule="auto"/>
        <w:jc w:val="right"/>
        <w:rPr>
          <w:rFonts w:ascii="Times New Roman" w:eastAsia="Calibri" w:hAnsi="Times New Roman"/>
        </w:rPr>
      </w:pPr>
    </w:p>
    <w:p w:rsidR="00FF766E" w:rsidRPr="0043677B" w:rsidRDefault="00FF766E" w:rsidP="00FF766E">
      <w:pPr>
        <w:spacing w:after="200" w:line="276" w:lineRule="auto"/>
        <w:jc w:val="right"/>
        <w:rPr>
          <w:rFonts w:ascii="Times New Roman" w:eastAsia="Calibri" w:hAnsi="Times New Roman"/>
        </w:rPr>
      </w:pPr>
    </w:p>
    <w:p w:rsidR="00FF766E" w:rsidRPr="0043677B" w:rsidRDefault="00FF766E" w:rsidP="00FF766E">
      <w:pPr>
        <w:spacing w:after="200" w:line="276" w:lineRule="auto"/>
        <w:jc w:val="right"/>
        <w:rPr>
          <w:rFonts w:ascii="Times New Roman" w:eastAsia="Calibri" w:hAnsi="Times New Roman"/>
        </w:rPr>
      </w:pPr>
    </w:p>
    <w:p w:rsidR="00FF766E" w:rsidRPr="0043677B" w:rsidRDefault="00FF766E" w:rsidP="00FF766E">
      <w:pPr>
        <w:spacing w:after="200" w:line="276" w:lineRule="auto"/>
        <w:rPr>
          <w:rFonts w:ascii="Times New Roman" w:eastAsia="Calibri" w:hAnsi="Times New Roman"/>
        </w:rPr>
      </w:pPr>
      <w:r w:rsidRPr="0043677B">
        <w:rPr>
          <w:rFonts w:ascii="Times New Roman" w:eastAsia="Calibri" w:hAnsi="Times New Roman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FF766E" w:rsidRPr="0043677B" w:rsidTr="00626B24">
        <w:tc>
          <w:tcPr>
            <w:tcW w:w="1951" w:type="dxa"/>
            <w:shd w:val="clear" w:color="auto" w:fill="auto"/>
          </w:tcPr>
          <w:p w:rsidR="00FF766E" w:rsidRPr="0043677B" w:rsidRDefault="00FF766E" w:rsidP="00626B2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3677B">
              <w:rPr>
                <w:rFonts w:ascii="Times New Roman" w:hAnsi="Times New Roman"/>
                <w:b/>
                <w:smallCaps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:rsidR="00FF766E" w:rsidRPr="0043677B" w:rsidRDefault="00152074" w:rsidP="00626B24">
            <w:pPr>
              <w:spacing w:line="360" w:lineRule="auto"/>
              <w:rPr>
                <w:rFonts w:ascii="Times New Roman" w:hAnsi="Times New Roman"/>
              </w:rPr>
            </w:pPr>
            <w:r w:rsidRPr="0043677B">
              <w:rPr>
                <w:rFonts w:ascii="Times New Roman" w:hAnsi="Times New Roman"/>
              </w:rPr>
              <w:t xml:space="preserve"> </w:t>
            </w:r>
            <w:r w:rsidR="00FF766E" w:rsidRPr="0043677B">
              <w:rPr>
                <w:rFonts w:ascii="Times New Roman" w:hAnsi="Times New Roman"/>
              </w:rPr>
              <w:t>Ministarstvo gospodarstva i održivog razvoja</w:t>
            </w:r>
          </w:p>
        </w:tc>
      </w:tr>
    </w:tbl>
    <w:p w:rsidR="00FF766E" w:rsidRPr="0043677B" w:rsidRDefault="00FF766E" w:rsidP="00FF766E">
      <w:pPr>
        <w:spacing w:after="200" w:line="276" w:lineRule="auto"/>
        <w:rPr>
          <w:rFonts w:ascii="Times New Roman" w:eastAsia="Calibri" w:hAnsi="Times New Roman"/>
        </w:rPr>
      </w:pPr>
      <w:r w:rsidRPr="0043677B">
        <w:rPr>
          <w:rFonts w:ascii="Times New Roman" w:eastAsia="Calibri" w:hAnsi="Times New Roman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FF766E" w:rsidRPr="0043677B" w:rsidTr="00626B24">
        <w:tc>
          <w:tcPr>
            <w:tcW w:w="1951" w:type="dxa"/>
            <w:shd w:val="clear" w:color="auto" w:fill="auto"/>
          </w:tcPr>
          <w:p w:rsidR="00FF766E" w:rsidRPr="0043677B" w:rsidRDefault="00FF766E" w:rsidP="00626B24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43677B">
              <w:rPr>
                <w:rFonts w:ascii="Times New Roman" w:hAnsi="Times New Roman"/>
                <w:b/>
                <w:smallCaps/>
              </w:rPr>
              <w:t>Predmet</w:t>
            </w:r>
            <w:r w:rsidRPr="0043677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FF766E" w:rsidRPr="0043677B" w:rsidRDefault="00FF766E" w:rsidP="00626B24">
            <w:pPr>
              <w:spacing w:line="360" w:lineRule="auto"/>
              <w:rPr>
                <w:rFonts w:ascii="Times New Roman" w:hAnsi="Times New Roman"/>
              </w:rPr>
            </w:pPr>
            <w:r w:rsidRPr="0043677B">
              <w:rPr>
                <w:rFonts w:ascii="Times New Roman" w:hAnsi="Times New Roman"/>
              </w:rPr>
              <w:t>Prijedlog godišnjeg izvješća o izvozu i uvozu robe vojne namjene i nevojnih ubojnih sredstava za kome</w:t>
            </w:r>
            <w:bookmarkStart w:id="0" w:name="_GoBack"/>
            <w:bookmarkEnd w:id="0"/>
            <w:r w:rsidRPr="0043677B">
              <w:rPr>
                <w:rFonts w:ascii="Times New Roman" w:hAnsi="Times New Roman"/>
              </w:rPr>
              <w:t xml:space="preserve">rcijalne svrhe za 2021. godinu </w:t>
            </w:r>
          </w:p>
        </w:tc>
      </w:tr>
    </w:tbl>
    <w:p w:rsidR="00FF766E" w:rsidRPr="0043677B" w:rsidRDefault="00FF766E" w:rsidP="00FF766E">
      <w:pPr>
        <w:spacing w:after="200" w:line="276" w:lineRule="auto"/>
        <w:rPr>
          <w:rFonts w:ascii="Times New Roman" w:eastAsia="Calibri" w:hAnsi="Times New Roman"/>
        </w:rPr>
      </w:pPr>
      <w:r w:rsidRPr="0043677B">
        <w:rPr>
          <w:rFonts w:ascii="Times New Roman" w:eastAsia="Calibri" w:hAnsi="Times New Roman"/>
        </w:rPr>
        <w:t>__________________________________________________________________________</w:t>
      </w:r>
    </w:p>
    <w:p w:rsidR="00FF766E" w:rsidRPr="0043677B" w:rsidRDefault="00FF766E" w:rsidP="00FF766E">
      <w:pPr>
        <w:spacing w:after="200" w:line="276" w:lineRule="auto"/>
        <w:rPr>
          <w:rFonts w:ascii="Times New Roman" w:eastAsia="Calibri" w:hAnsi="Times New Roman"/>
        </w:rPr>
      </w:pPr>
    </w:p>
    <w:p w:rsidR="00FF766E" w:rsidRPr="006944FA" w:rsidRDefault="00FF766E" w:rsidP="00FF766E">
      <w:pPr>
        <w:spacing w:after="200" w:line="276" w:lineRule="auto"/>
        <w:rPr>
          <w:rFonts w:eastAsia="Calibri"/>
        </w:rPr>
      </w:pPr>
    </w:p>
    <w:p w:rsidR="00FF766E" w:rsidRPr="006944FA" w:rsidRDefault="00FF766E" w:rsidP="00FF766E">
      <w:pPr>
        <w:spacing w:after="200" w:line="276" w:lineRule="auto"/>
        <w:rPr>
          <w:rFonts w:eastAsia="Calibri"/>
        </w:rPr>
      </w:pPr>
    </w:p>
    <w:p w:rsidR="00FF766E" w:rsidRPr="006944FA" w:rsidRDefault="00FF766E" w:rsidP="00FF766E">
      <w:pPr>
        <w:spacing w:after="200" w:line="276" w:lineRule="auto"/>
        <w:rPr>
          <w:rFonts w:eastAsia="Calibri"/>
        </w:rPr>
      </w:pPr>
    </w:p>
    <w:p w:rsidR="00FF766E" w:rsidRPr="006944FA" w:rsidRDefault="00FF766E" w:rsidP="00FF766E">
      <w:pPr>
        <w:tabs>
          <w:tab w:val="center" w:pos="4536"/>
          <w:tab w:val="right" w:pos="9072"/>
        </w:tabs>
        <w:rPr>
          <w:rFonts w:ascii="Calibri" w:eastAsia="Calibri" w:hAnsi="Calibri"/>
          <w:sz w:val="22"/>
        </w:rPr>
      </w:pPr>
    </w:p>
    <w:p w:rsidR="00FF766E" w:rsidRDefault="00FF766E" w:rsidP="00FF766E">
      <w:pPr>
        <w:spacing w:after="200" w:line="276" w:lineRule="auto"/>
        <w:rPr>
          <w:rFonts w:ascii="Calibri" w:eastAsia="Calibri" w:hAnsi="Calibri"/>
          <w:sz w:val="22"/>
        </w:rPr>
      </w:pPr>
    </w:p>
    <w:p w:rsidR="00A27DC2" w:rsidRDefault="00A27DC2" w:rsidP="00FF766E">
      <w:pPr>
        <w:spacing w:after="200" w:line="276" w:lineRule="auto"/>
        <w:rPr>
          <w:rFonts w:ascii="Calibri" w:eastAsia="Calibri" w:hAnsi="Calibri"/>
          <w:sz w:val="22"/>
        </w:rPr>
      </w:pPr>
    </w:p>
    <w:p w:rsidR="00A27DC2" w:rsidRDefault="00A27DC2" w:rsidP="00FF766E">
      <w:pPr>
        <w:spacing w:after="200" w:line="276" w:lineRule="auto"/>
        <w:rPr>
          <w:rFonts w:ascii="Calibri" w:eastAsia="Calibri" w:hAnsi="Calibri"/>
          <w:sz w:val="22"/>
        </w:rPr>
      </w:pPr>
    </w:p>
    <w:p w:rsidR="00873C77" w:rsidRPr="00873C77" w:rsidRDefault="00873C77" w:rsidP="00FF766E">
      <w:pPr>
        <w:spacing w:after="200" w:line="276" w:lineRule="auto"/>
        <w:rPr>
          <w:rFonts w:ascii="Times New Roman" w:eastAsia="Calibri" w:hAnsi="Times New Roman"/>
        </w:rPr>
      </w:pPr>
    </w:p>
    <w:p w:rsidR="00873C77" w:rsidRPr="00873C77" w:rsidRDefault="00873C77" w:rsidP="00FF766E">
      <w:pPr>
        <w:spacing w:after="200" w:line="276" w:lineRule="auto"/>
        <w:rPr>
          <w:rFonts w:ascii="Times New Roman" w:eastAsia="Calibri" w:hAnsi="Times New Roman"/>
        </w:rPr>
      </w:pPr>
    </w:p>
    <w:p w:rsidR="00FF766E" w:rsidRPr="00873C77" w:rsidRDefault="00FF766E" w:rsidP="00FF766E">
      <w:pPr>
        <w:tabs>
          <w:tab w:val="center" w:pos="4536"/>
          <w:tab w:val="right" w:pos="9072"/>
        </w:tabs>
        <w:rPr>
          <w:rFonts w:ascii="Times New Roman" w:eastAsia="Calibri" w:hAnsi="Times New Roman"/>
        </w:rPr>
      </w:pPr>
    </w:p>
    <w:p w:rsidR="00FF766E" w:rsidRPr="007F4DCE" w:rsidRDefault="00FF766E" w:rsidP="00FF766E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0"/>
        </w:rPr>
      </w:pPr>
      <w:r w:rsidRPr="007F4DCE">
        <w:rPr>
          <w:rFonts w:ascii="Times New Roman" w:eastAsia="Calibri" w:hAnsi="Times New Roman" w:cs="Times New Roman"/>
          <w:color w:val="404040"/>
          <w:spacing w:val="20"/>
          <w:sz w:val="20"/>
          <w:szCs w:val="20"/>
        </w:rPr>
        <w:t>Banski dvori | Trg Sv. Marka 2  | 10000 Zagreb | tel. 01 4569 222 | vlada.gov.hr</w:t>
      </w:r>
    </w:p>
    <w:p w:rsidR="0021326B" w:rsidRDefault="0021326B"/>
    <w:p w:rsidR="0021326B" w:rsidRDefault="0021326B"/>
    <w:p w:rsidR="0021326B" w:rsidRDefault="0021326B" w:rsidP="00275B33"/>
    <w:p w:rsidR="00A27DC2" w:rsidRDefault="00A27DC2" w:rsidP="00275B33"/>
    <w:p w:rsidR="00A27DC2" w:rsidRDefault="00A27DC2" w:rsidP="00275B33"/>
    <w:p w:rsidR="00A27DC2" w:rsidRDefault="00A27DC2" w:rsidP="00275B33"/>
    <w:p w:rsidR="00A27DC2" w:rsidRDefault="00A27DC2" w:rsidP="00275B33"/>
    <w:p w:rsidR="00A27DC2" w:rsidRDefault="00A27DC2" w:rsidP="00275B33"/>
    <w:p w:rsidR="00A27DC2" w:rsidRDefault="00A27DC2" w:rsidP="00275B33"/>
    <w:p w:rsidR="00A27DC2" w:rsidRDefault="00A27DC2" w:rsidP="00275B33"/>
    <w:p w:rsidR="00A27DC2" w:rsidRDefault="00A27DC2" w:rsidP="00275B33"/>
    <w:p w:rsidR="00A27DC2" w:rsidRDefault="00A27DC2" w:rsidP="00275B33"/>
    <w:p w:rsidR="00A27DC2" w:rsidRDefault="00A27DC2" w:rsidP="00275B33"/>
    <w:p w:rsidR="00A27DC2" w:rsidRDefault="00A27DC2" w:rsidP="00275B33"/>
    <w:p w:rsidR="00A27DC2" w:rsidRDefault="00A27DC2" w:rsidP="00275B33"/>
    <w:p w:rsidR="00A27DC2" w:rsidRDefault="00A27DC2" w:rsidP="00275B33"/>
    <w:p w:rsidR="0021326B" w:rsidRDefault="0021326B" w:rsidP="00275B33"/>
    <w:p w:rsidR="00A27DC2" w:rsidRDefault="00DB3F69" w:rsidP="00275B33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91219">
        <w:rPr>
          <w:rFonts w:ascii="Times New Roman" w:hAnsi="Times New Roman" w:cs="Times New Roman"/>
          <w:sz w:val="24"/>
          <w:szCs w:val="24"/>
        </w:rPr>
        <w:t>GODIŠNJE IZVJEŠĆE</w:t>
      </w:r>
      <w:r w:rsidR="00A27DC2">
        <w:rPr>
          <w:rFonts w:ascii="Times New Roman" w:hAnsi="Times New Roman" w:cs="Times New Roman"/>
          <w:sz w:val="24"/>
          <w:szCs w:val="24"/>
        </w:rPr>
        <w:t xml:space="preserve"> </w:t>
      </w:r>
      <w:r w:rsidRPr="00891219">
        <w:rPr>
          <w:rFonts w:ascii="Times New Roman" w:hAnsi="Times New Roman" w:cs="Times New Roman"/>
          <w:sz w:val="24"/>
          <w:szCs w:val="24"/>
        </w:rPr>
        <w:t xml:space="preserve">O IZVOZU I UVOZU ROBE VOJNE NAMJENE I </w:t>
      </w:r>
    </w:p>
    <w:p w:rsidR="00A27DC2" w:rsidRDefault="00A27DC2" w:rsidP="00275B33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21326B" w:rsidRPr="00891219" w:rsidRDefault="00DB3F69" w:rsidP="00275B33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91219">
        <w:rPr>
          <w:rFonts w:ascii="Times New Roman" w:hAnsi="Times New Roman" w:cs="Times New Roman"/>
          <w:sz w:val="24"/>
          <w:szCs w:val="24"/>
        </w:rPr>
        <w:t>NEVOJNIH UBOJNIH SREDSTAVA ZA KOMERCIJALNE SVRHE</w:t>
      </w:r>
    </w:p>
    <w:p w:rsidR="00A27DC2" w:rsidRDefault="00A27DC2" w:rsidP="00275B33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21326B" w:rsidRPr="00891219" w:rsidRDefault="00DB3F69" w:rsidP="00275B33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91219">
        <w:rPr>
          <w:rFonts w:ascii="Times New Roman" w:hAnsi="Times New Roman" w:cs="Times New Roman"/>
          <w:sz w:val="24"/>
          <w:szCs w:val="24"/>
        </w:rPr>
        <w:t>ZA 20</w:t>
      </w:r>
      <w:r w:rsidR="00846F4E" w:rsidRPr="00891219">
        <w:rPr>
          <w:rFonts w:ascii="Times New Roman" w:hAnsi="Times New Roman" w:cs="Times New Roman"/>
          <w:sz w:val="24"/>
          <w:szCs w:val="24"/>
        </w:rPr>
        <w:t>21</w:t>
      </w:r>
      <w:r w:rsidRPr="00891219">
        <w:rPr>
          <w:rFonts w:ascii="Times New Roman" w:hAnsi="Times New Roman" w:cs="Times New Roman"/>
          <w:sz w:val="24"/>
          <w:szCs w:val="24"/>
        </w:rPr>
        <w:t>. GODINU</w:t>
      </w:r>
    </w:p>
    <w:p w:rsidR="0021326B" w:rsidRDefault="0021326B" w:rsidP="00275B33">
      <w:pPr>
        <w:pStyle w:val="Title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21326B" w:rsidRDefault="0021326B" w:rsidP="00275B33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5007E0" w:rsidRDefault="005007E0">
      <w:pPr>
        <w:rPr>
          <w:rFonts w:ascii="Times New Roman" w:hAnsi="Times New Roman"/>
        </w:rPr>
      </w:pPr>
    </w:p>
    <w:p w:rsidR="005007E0" w:rsidRDefault="005007E0">
      <w:pPr>
        <w:rPr>
          <w:rFonts w:ascii="Times New Roman" w:hAnsi="Times New Roman"/>
        </w:rPr>
      </w:pPr>
    </w:p>
    <w:p w:rsidR="005007E0" w:rsidRDefault="005007E0">
      <w:pPr>
        <w:rPr>
          <w:rFonts w:ascii="Times New Roman" w:hAnsi="Times New Roman"/>
        </w:rPr>
      </w:pPr>
    </w:p>
    <w:p w:rsidR="005007E0" w:rsidRDefault="005007E0">
      <w:pPr>
        <w:rPr>
          <w:rFonts w:ascii="Times New Roman" w:hAnsi="Times New Roman"/>
        </w:rPr>
      </w:pPr>
    </w:p>
    <w:p w:rsidR="005007E0" w:rsidRDefault="005007E0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pBdr>
          <w:bottom w:val="single" w:sz="12" w:space="1" w:color="auto"/>
        </w:pBdr>
        <w:rPr>
          <w:rFonts w:ascii="Times New Roman" w:hAnsi="Times New Roman"/>
        </w:rPr>
      </w:pPr>
    </w:p>
    <w:p w:rsidR="0021326B" w:rsidRPr="00A622FD" w:rsidRDefault="00A27D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srpanj</w:t>
      </w:r>
      <w:r w:rsidR="00846F4E" w:rsidRPr="00A622FD">
        <w:rPr>
          <w:rFonts w:ascii="Times New Roman" w:hAnsi="Times New Roman"/>
          <w:b/>
        </w:rPr>
        <w:t xml:space="preserve"> 2022</w:t>
      </w:r>
      <w:r w:rsidR="00DB3F69" w:rsidRPr="00A622FD">
        <w:rPr>
          <w:rFonts w:ascii="Times New Roman" w:hAnsi="Times New Roman"/>
          <w:b/>
        </w:rPr>
        <w:t>.</w:t>
      </w:r>
    </w:p>
    <w:p w:rsidR="00066847" w:rsidRDefault="00066847">
      <w:pPr>
        <w:rPr>
          <w:rFonts w:ascii="Times New Roman" w:hAnsi="Times New Roman"/>
          <w:b/>
        </w:rPr>
      </w:pPr>
    </w:p>
    <w:p w:rsidR="0021326B" w:rsidRPr="002278D5" w:rsidRDefault="00DB3F69">
      <w:pPr>
        <w:rPr>
          <w:rFonts w:ascii="Times New Roman" w:hAnsi="Times New Roman"/>
          <w:b/>
        </w:rPr>
      </w:pPr>
      <w:r w:rsidRPr="002278D5">
        <w:rPr>
          <w:rFonts w:ascii="Times New Roman" w:hAnsi="Times New Roman"/>
          <w:b/>
        </w:rPr>
        <w:t>SADRŽAJ</w:t>
      </w:r>
    </w:p>
    <w:p w:rsidR="0021326B" w:rsidRDefault="0021326B">
      <w:pPr>
        <w:rPr>
          <w:rFonts w:ascii="Times New Roman" w:hAnsi="Times New Roman"/>
        </w:rPr>
      </w:pPr>
    </w:p>
    <w:p w:rsidR="00382395" w:rsidRDefault="00382395">
      <w:pPr>
        <w:rPr>
          <w:rFonts w:ascii="Times New Roman" w:hAnsi="Times New Roman"/>
        </w:rPr>
      </w:pPr>
    </w:p>
    <w:p w:rsidR="00382395" w:rsidRDefault="00382395">
      <w:pPr>
        <w:rPr>
          <w:rFonts w:ascii="Times New Roman" w:hAnsi="Times New Roman"/>
        </w:rPr>
      </w:pPr>
    </w:p>
    <w:p w:rsidR="0021326B" w:rsidRPr="002278D5" w:rsidRDefault="009D198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Uvod</w:t>
      </w:r>
    </w:p>
    <w:p w:rsidR="0021326B" w:rsidRPr="002278D5" w:rsidRDefault="0021326B">
      <w:pPr>
        <w:pStyle w:val="ListParagraph"/>
        <w:jc w:val="both"/>
        <w:rPr>
          <w:rFonts w:ascii="Times New Roman" w:hAnsi="Times New Roman"/>
        </w:rPr>
      </w:pPr>
    </w:p>
    <w:p w:rsidR="0021326B" w:rsidRPr="002278D5" w:rsidRDefault="009D198D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Definicije</w:t>
      </w:r>
    </w:p>
    <w:p w:rsidR="0021326B" w:rsidRPr="002278D5" w:rsidRDefault="0021326B">
      <w:pPr>
        <w:pStyle w:val="ListParagraph"/>
        <w:ind w:left="1440"/>
        <w:jc w:val="both"/>
        <w:rPr>
          <w:rFonts w:ascii="Times New Roman" w:hAnsi="Times New Roman"/>
        </w:rPr>
      </w:pPr>
    </w:p>
    <w:p w:rsidR="0021326B" w:rsidRPr="002278D5" w:rsidRDefault="009D198D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Uvjeti za izvoz i uvoz robe vojne namjene i nevojnih ubojnih sredstava te prijenos obrambenih proizvoda unutar Europske unije</w:t>
      </w:r>
    </w:p>
    <w:p w:rsidR="0021326B" w:rsidRPr="002278D5" w:rsidRDefault="0021326B">
      <w:pPr>
        <w:jc w:val="both"/>
        <w:rPr>
          <w:rFonts w:ascii="Times New Roman" w:hAnsi="Times New Roman"/>
        </w:rPr>
      </w:pPr>
    </w:p>
    <w:p w:rsidR="0021326B" w:rsidRPr="002278D5" w:rsidRDefault="009D198D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Baza podataka</w:t>
      </w:r>
    </w:p>
    <w:p w:rsidR="0021326B" w:rsidRPr="002278D5" w:rsidRDefault="0021326B">
      <w:pPr>
        <w:jc w:val="both"/>
        <w:rPr>
          <w:rFonts w:ascii="Times New Roman" w:hAnsi="Times New Roman"/>
        </w:rPr>
      </w:pPr>
    </w:p>
    <w:p w:rsidR="0021326B" w:rsidRPr="002278D5" w:rsidRDefault="009D198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Izvješće o izdanim dozvolama za izvoz/prijenos, uvoz/prijenos i pružanje usluga</w:t>
      </w:r>
    </w:p>
    <w:p w:rsidR="0021326B" w:rsidRPr="002278D5" w:rsidRDefault="0021326B">
      <w:pPr>
        <w:pStyle w:val="ListParagraph"/>
        <w:jc w:val="both"/>
        <w:rPr>
          <w:rFonts w:ascii="Times New Roman" w:hAnsi="Times New Roman"/>
        </w:rPr>
      </w:pPr>
    </w:p>
    <w:p w:rsidR="0021326B" w:rsidRPr="002278D5" w:rsidRDefault="009D198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Izvješće o financijskim  pokazateljima realizacije dozvola</w:t>
      </w:r>
    </w:p>
    <w:p w:rsidR="0021326B" w:rsidRPr="002278D5" w:rsidRDefault="0021326B">
      <w:pPr>
        <w:pStyle w:val="ListParagraph"/>
        <w:jc w:val="both"/>
        <w:rPr>
          <w:rFonts w:ascii="Times New Roman" w:hAnsi="Times New Roman"/>
        </w:rPr>
      </w:pPr>
    </w:p>
    <w:p w:rsidR="0021326B" w:rsidRPr="002278D5" w:rsidRDefault="009D198D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Financijska reali</w:t>
      </w:r>
      <w:r w:rsidR="00846F4E">
        <w:rPr>
          <w:rFonts w:ascii="Times New Roman" w:hAnsi="Times New Roman"/>
        </w:rPr>
        <w:t>zacija dozvola izdanih u 2021</w:t>
      </w:r>
      <w:r w:rsidRPr="002278D5">
        <w:rPr>
          <w:rFonts w:ascii="Times New Roman" w:hAnsi="Times New Roman"/>
        </w:rPr>
        <w:t xml:space="preserve">. </w:t>
      </w:r>
      <w:r w:rsidR="00635713" w:rsidRPr="002278D5">
        <w:rPr>
          <w:rFonts w:ascii="Times New Roman" w:hAnsi="Times New Roman"/>
        </w:rPr>
        <w:t>g</w:t>
      </w:r>
      <w:r w:rsidRPr="002278D5">
        <w:rPr>
          <w:rFonts w:ascii="Times New Roman" w:hAnsi="Times New Roman"/>
        </w:rPr>
        <w:t>odini</w:t>
      </w:r>
    </w:p>
    <w:p w:rsidR="0021326B" w:rsidRPr="002278D5" w:rsidRDefault="0021326B">
      <w:pPr>
        <w:pStyle w:val="ListParagraph"/>
        <w:ind w:left="1440"/>
        <w:jc w:val="both"/>
        <w:rPr>
          <w:rFonts w:ascii="Times New Roman" w:hAnsi="Times New Roman"/>
        </w:rPr>
      </w:pPr>
    </w:p>
    <w:p w:rsidR="0021326B" w:rsidRPr="002278D5" w:rsidRDefault="009D198D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Ukupni  financijski  pokazatelji  realizacije  dozvola u 202</w:t>
      </w:r>
      <w:r w:rsidR="00846F4E">
        <w:rPr>
          <w:rFonts w:ascii="Times New Roman" w:hAnsi="Times New Roman"/>
        </w:rPr>
        <w:t>1</w:t>
      </w:r>
      <w:r w:rsidRPr="002278D5">
        <w:rPr>
          <w:rFonts w:ascii="Times New Roman" w:hAnsi="Times New Roman"/>
        </w:rPr>
        <w:t xml:space="preserve">. </w:t>
      </w:r>
      <w:r w:rsidR="00275B33" w:rsidRPr="002278D5">
        <w:rPr>
          <w:rFonts w:ascii="Times New Roman" w:hAnsi="Times New Roman"/>
        </w:rPr>
        <w:t>g</w:t>
      </w:r>
      <w:r w:rsidRPr="002278D5">
        <w:rPr>
          <w:rFonts w:ascii="Times New Roman" w:hAnsi="Times New Roman"/>
        </w:rPr>
        <w:t>odini s dodanom realizacijom dozvola koje su</w:t>
      </w:r>
      <w:r w:rsidR="00275B33" w:rsidRPr="002278D5">
        <w:rPr>
          <w:rFonts w:ascii="Times New Roman" w:hAnsi="Times New Roman"/>
        </w:rPr>
        <w:t xml:space="preserve"> </w:t>
      </w:r>
      <w:r w:rsidR="00846F4E">
        <w:rPr>
          <w:rFonts w:ascii="Times New Roman" w:hAnsi="Times New Roman"/>
        </w:rPr>
        <w:t>izdane u 2020</w:t>
      </w:r>
      <w:r w:rsidRPr="002278D5">
        <w:rPr>
          <w:rFonts w:ascii="Times New Roman" w:hAnsi="Times New Roman"/>
        </w:rPr>
        <w:t xml:space="preserve">. </w:t>
      </w:r>
      <w:r w:rsidR="00275B33" w:rsidRPr="002278D5">
        <w:rPr>
          <w:rFonts w:ascii="Times New Roman" w:hAnsi="Times New Roman"/>
        </w:rPr>
        <w:t>g</w:t>
      </w:r>
      <w:r w:rsidRPr="002278D5">
        <w:rPr>
          <w:rFonts w:ascii="Times New Roman" w:hAnsi="Times New Roman"/>
        </w:rPr>
        <w:t>odini,</w:t>
      </w:r>
      <w:r w:rsidR="00275B33" w:rsidRPr="002278D5">
        <w:rPr>
          <w:rFonts w:ascii="Times New Roman" w:hAnsi="Times New Roman"/>
        </w:rPr>
        <w:t xml:space="preserve"> </w:t>
      </w:r>
      <w:r w:rsidR="00846F4E">
        <w:rPr>
          <w:rFonts w:ascii="Times New Roman" w:hAnsi="Times New Roman"/>
        </w:rPr>
        <w:t>a realizirane u 2021</w:t>
      </w:r>
      <w:r w:rsidRPr="002278D5">
        <w:rPr>
          <w:rFonts w:ascii="Times New Roman" w:hAnsi="Times New Roman"/>
        </w:rPr>
        <w:t xml:space="preserve">. </w:t>
      </w:r>
      <w:r w:rsidR="00275B33" w:rsidRPr="002278D5">
        <w:rPr>
          <w:rFonts w:ascii="Times New Roman" w:hAnsi="Times New Roman"/>
        </w:rPr>
        <w:t>g</w:t>
      </w:r>
      <w:r w:rsidRPr="002278D5">
        <w:rPr>
          <w:rFonts w:ascii="Times New Roman" w:hAnsi="Times New Roman"/>
        </w:rPr>
        <w:t>odini</w:t>
      </w:r>
    </w:p>
    <w:p w:rsidR="00275B33" w:rsidRPr="002278D5" w:rsidRDefault="00275B33" w:rsidP="00275B33">
      <w:pPr>
        <w:pStyle w:val="ListParagraph"/>
        <w:ind w:left="1440"/>
        <w:jc w:val="both"/>
        <w:rPr>
          <w:rFonts w:ascii="Times New Roman" w:hAnsi="Times New Roman"/>
        </w:rPr>
      </w:pPr>
    </w:p>
    <w:p w:rsidR="0021326B" w:rsidRPr="002278D5" w:rsidRDefault="00DB3F69">
      <w:pPr>
        <w:pStyle w:val="ListParagraph"/>
        <w:numPr>
          <w:ilvl w:val="2"/>
          <w:numId w:val="3"/>
        </w:numPr>
        <w:ind w:left="2127" w:hanging="709"/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Izvoz/prijenos robe vojne namjene i nevojnih ubojnih sredstava</w:t>
      </w:r>
    </w:p>
    <w:p w:rsidR="00275B33" w:rsidRPr="002278D5" w:rsidRDefault="00275B33" w:rsidP="00275B33">
      <w:pPr>
        <w:pStyle w:val="ListParagraph"/>
        <w:ind w:left="2127"/>
        <w:jc w:val="both"/>
        <w:rPr>
          <w:rFonts w:ascii="Times New Roman" w:hAnsi="Times New Roman"/>
        </w:rPr>
      </w:pPr>
    </w:p>
    <w:p w:rsidR="0021326B" w:rsidRPr="002278D5" w:rsidRDefault="00DB3F69">
      <w:pPr>
        <w:pStyle w:val="ListParagraph"/>
        <w:numPr>
          <w:ilvl w:val="2"/>
          <w:numId w:val="3"/>
        </w:numPr>
        <w:ind w:left="2127" w:hanging="709"/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Pružene usluge za robu vojne namjene</w:t>
      </w:r>
    </w:p>
    <w:p w:rsidR="00275B33" w:rsidRPr="002278D5" w:rsidRDefault="00275B33" w:rsidP="00275B33">
      <w:pPr>
        <w:pStyle w:val="ListParagraph"/>
        <w:ind w:left="2127"/>
        <w:jc w:val="both"/>
        <w:rPr>
          <w:rFonts w:ascii="Times New Roman" w:hAnsi="Times New Roman"/>
        </w:rPr>
      </w:pPr>
    </w:p>
    <w:p w:rsidR="0021326B" w:rsidRPr="002278D5" w:rsidRDefault="00DB3F69">
      <w:pPr>
        <w:pStyle w:val="ListParagraph"/>
        <w:numPr>
          <w:ilvl w:val="2"/>
          <w:numId w:val="3"/>
        </w:numPr>
        <w:ind w:left="2127" w:hanging="709"/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Uvoz/prijenos robe vojne namjene i nevojnih ubojnih sredstava</w:t>
      </w:r>
    </w:p>
    <w:p w:rsidR="0021326B" w:rsidRPr="002278D5" w:rsidRDefault="0021326B">
      <w:pPr>
        <w:pStyle w:val="ListParagraph"/>
        <w:ind w:left="1800"/>
        <w:jc w:val="both"/>
        <w:rPr>
          <w:rFonts w:ascii="Times New Roman" w:hAnsi="Times New Roman"/>
        </w:rPr>
      </w:pPr>
    </w:p>
    <w:p w:rsidR="0021326B" w:rsidRPr="002278D5" w:rsidRDefault="009D198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Zaključak</w:t>
      </w: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21326B" w:rsidRDefault="0021326B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152074" w:rsidRDefault="00152074" w:rsidP="00382395">
      <w:pPr>
        <w:rPr>
          <w:rFonts w:ascii="Times New Roman" w:hAnsi="Times New Roman"/>
        </w:rPr>
      </w:pPr>
    </w:p>
    <w:p w:rsidR="00152074" w:rsidRDefault="00152074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382395" w:rsidRDefault="00382395" w:rsidP="00382395">
      <w:pPr>
        <w:rPr>
          <w:rFonts w:ascii="Times New Roman" w:hAnsi="Times New Roman"/>
        </w:rPr>
      </w:pPr>
    </w:p>
    <w:p w:rsidR="0021326B" w:rsidRPr="00382395" w:rsidRDefault="00382395" w:rsidP="00382395">
      <w:pPr>
        <w:rPr>
          <w:rFonts w:ascii="Times New Roman" w:hAnsi="Times New Roman"/>
        </w:rPr>
      </w:pPr>
      <w:r w:rsidRPr="00382395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</w:t>
      </w:r>
      <w:r w:rsidR="00237C85" w:rsidRPr="00382395">
        <w:rPr>
          <w:rFonts w:ascii="Times New Roman" w:hAnsi="Times New Roman"/>
          <w:b/>
        </w:rPr>
        <w:t>Uvod</w:t>
      </w:r>
    </w:p>
    <w:p w:rsidR="0021326B" w:rsidRDefault="0021326B">
      <w:pPr>
        <w:spacing w:line="276" w:lineRule="auto"/>
        <w:rPr>
          <w:rFonts w:ascii="Times New Roman" w:hAnsi="Times New Roman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Ministarstvo gospodarstva</w:t>
      </w:r>
      <w:r w:rsidR="00D13ED4">
        <w:rPr>
          <w:rFonts w:ascii="Times New Roman" w:eastAsia="Times New Roman" w:hAnsi="Times New Roman"/>
          <w:lang w:eastAsia="hr-HR"/>
        </w:rPr>
        <w:t xml:space="preserve"> i održivog r</w:t>
      </w:r>
      <w:r w:rsidR="00237C85">
        <w:rPr>
          <w:rFonts w:ascii="Times New Roman" w:eastAsia="Times New Roman" w:hAnsi="Times New Roman"/>
          <w:lang w:eastAsia="hr-HR"/>
        </w:rPr>
        <w:t>azvoja</w:t>
      </w:r>
      <w:r>
        <w:rPr>
          <w:rFonts w:ascii="Times New Roman" w:eastAsia="Times New Roman" w:hAnsi="Times New Roman"/>
          <w:lang w:eastAsia="hr-HR"/>
        </w:rPr>
        <w:t xml:space="preserve"> dužno je,</w:t>
      </w:r>
      <w:r w:rsidR="00123DE3">
        <w:rPr>
          <w:rFonts w:ascii="Times New Roman" w:eastAsia="Times New Roman" w:hAnsi="Times New Roman"/>
          <w:lang w:eastAsia="hr-HR"/>
        </w:rPr>
        <w:t xml:space="preserve"> na</w:t>
      </w:r>
      <w:r>
        <w:rPr>
          <w:rFonts w:ascii="Times New Roman" w:eastAsia="Times New Roman" w:hAnsi="Times New Roman"/>
          <w:lang w:eastAsia="hr-HR"/>
        </w:rPr>
        <w:t xml:space="preserve"> temelj</w:t>
      </w:r>
      <w:r w:rsidR="00123DE3">
        <w:rPr>
          <w:rFonts w:ascii="Times New Roman" w:eastAsia="Times New Roman" w:hAnsi="Times New Roman"/>
          <w:lang w:eastAsia="hr-HR"/>
        </w:rPr>
        <w:t>u</w:t>
      </w:r>
      <w:r>
        <w:rPr>
          <w:rFonts w:ascii="Times New Roman" w:eastAsia="Times New Roman" w:hAnsi="Times New Roman"/>
          <w:lang w:eastAsia="hr-HR"/>
        </w:rPr>
        <w:t xml:space="preserve"> članka 25. stavka 2. Zakona o nadzoru prometa robe vojne namjene i nevojnih ubojnih sredstava (Narodne novine, br</w:t>
      </w:r>
      <w:r w:rsidR="001A36FB">
        <w:rPr>
          <w:rFonts w:ascii="Times New Roman" w:eastAsia="Times New Roman" w:hAnsi="Times New Roman"/>
          <w:lang w:eastAsia="hr-HR"/>
        </w:rPr>
        <w:t>.</w:t>
      </w:r>
      <w:r>
        <w:rPr>
          <w:rFonts w:ascii="Times New Roman" w:eastAsia="Times New Roman" w:hAnsi="Times New Roman"/>
          <w:lang w:eastAsia="hr-HR"/>
        </w:rPr>
        <w:t xml:space="preserve"> 80</w:t>
      </w:r>
      <w:r w:rsidR="002E3842">
        <w:rPr>
          <w:rFonts w:ascii="Times New Roman" w:eastAsia="Times New Roman" w:hAnsi="Times New Roman"/>
          <w:lang w:eastAsia="hr-HR"/>
        </w:rPr>
        <w:t xml:space="preserve">/13, u daljnjem tekstu: Zakon) </w:t>
      </w:r>
      <w:r>
        <w:rPr>
          <w:rFonts w:ascii="Times New Roman" w:eastAsia="Times New Roman" w:hAnsi="Times New Roman"/>
          <w:lang w:eastAsia="hr-HR"/>
        </w:rPr>
        <w:t xml:space="preserve">izraditi godišnje izvješće o izvozu i uvozu robe vojne namjene i nevojnih ubojnih sredstava za komercijalne svrhe za prethodnu godinu i dostaviti ga na usvajanje Vladi Republike Hrvatske. 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Godišnje izvješće o izvozu i uvozu robe vojne namjene i nevojnih ubojnih sredstava za komercijalne svrhe za 20</w:t>
      </w:r>
      <w:r w:rsidR="00846F4E">
        <w:rPr>
          <w:rFonts w:ascii="Times New Roman" w:eastAsia="Times New Roman" w:hAnsi="Times New Roman"/>
          <w:lang w:eastAsia="hr-HR"/>
        </w:rPr>
        <w:t>21</w:t>
      </w:r>
      <w:r>
        <w:rPr>
          <w:rFonts w:ascii="Times New Roman" w:eastAsia="Times New Roman" w:hAnsi="Times New Roman"/>
          <w:lang w:eastAsia="hr-HR"/>
        </w:rPr>
        <w:t>. godinu (u daljnjem tekstu: Godišnje izvješće za 20</w:t>
      </w:r>
      <w:r w:rsidR="00846F4E">
        <w:rPr>
          <w:rFonts w:ascii="Times New Roman" w:eastAsia="Times New Roman" w:hAnsi="Times New Roman"/>
          <w:lang w:eastAsia="hr-HR"/>
        </w:rPr>
        <w:t>21</w:t>
      </w:r>
      <w:r>
        <w:rPr>
          <w:rFonts w:ascii="Times New Roman" w:eastAsia="Times New Roman" w:hAnsi="Times New Roman"/>
          <w:lang w:eastAsia="hr-HR"/>
        </w:rPr>
        <w:t>.) sadrži informacije o izdanim dozvolama za izvoz/prijenos i uvoz/prijenos robe vojne namjene i nevojnih ubojnih sredstava za komercijalne svrhe, pružanje usluga za robu vojne namjene te financijske pokazatelje o realizaciji dozvola.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Pored Zakonom propisane obveze, cilj Godišnjeg izvješća za 20</w:t>
      </w:r>
      <w:r w:rsidR="00846F4E">
        <w:rPr>
          <w:rFonts w:ascii="Times New Roman" w:eastAsia="Times New Roman" w:hAnsi="Times New Roman"/>
          <w:lang w:eastAsia="hr-HR"/>
        </w:rPr>
        <w:t>21</w:t>
      </w:r>
      <w:r>
        <w:rPr>
          <w:rFonts w:ascii="Times New Roman" w:eastAsia="Times New Roman" w:hAnsi="Times New Roman"/>
          <w:lang w:eastAsia="hr-HR"/>
        </w:rPr>
        <w:t>. jest transparentno informirati javnost o činjenicama od značaja za nacionalnu sigurnost, vanjsku politiku i gospodarske interese Republike Hrvatske. Isto tako cilj mu je objediniti sve aktivnosti koje su tijekom godine poduzimala nadležna javnopravna tijela Republike Hrvatske kako bi se uspostavio što uspješniji i učinkovitiji sustav kontrole izvoza i uvoza robe vojne namjene i nevojnih ubojnih sredstava.</w:t>
      </w:r>
    </w:p>
    <w:p w:rsidR="0021326B" w:rsidRDefault="0021326B">
      <w:pPr>
        <w:spacing w:line="276" w:lineRule="auto"/>
        <w:jc w:val="both"/>
        <w:rPr>
          <w:rFonts w:ascii="Times New Roman" w:hAnsi="Times New Roman"/>
        </w:rPr>
      </w:pPr>
    </w:p>
    <w:p w:rsidR="00382395" w:rsidRDefault="00382395" w:rsidP="00382395">
      <w:pPr>
        <w:pStyle w:val="Heading2"/>
        <w:spacing w:line="276" w:lineRule="auto"/>
        <w:ind w:left="0" w:firstLine="0"/>
        <w:rPr>
          <w:rFonts w:ascii="Times New Roman" w:eastAsiaTheme="minorEastAsia" w:hAnsi="Times New Roman" w:cs="Times New Roman"/>
          <w:bCs w:val="0"/>
          <w:iCs w:val="0"/>
        </w:rPr>
      </w:pPr>
    </w:p>
    <w:p w:rsidR="0021326B" w:rsidRPr="00B977E0" w:rsidRDefault="00382395" w:rsidP="00382395">
      <w:pPr>
        <w:pStyle w:val="Heading2"/>
        <w:spacing w:line="276" w:lineRule="auto"/>
        <w:ind w:left="709" w:hanging="1"/>
        <w:rPr>
          <w:rFonts w:ascii="Times New Roman" w:hAnsi="Times New Roman" w:cs="Times New Roman"/>
          <w:b/>
        </w:rPr>
      </w:pPr>
      <w:r w:rsidRPr="00B977E0">
        <w:rPr>
          <w:rFonts w:ascii="Times New Roman" w:eastAsiaTheme="minorEastAsia" w:hAnsi="Times New Roman" w:cs="Times New Roman"/>
          <w:b/>
          <w:bCs w:val="0"/>
          <w:iCs w:val="0"/>
        </w:rPr>
        <w:t xml:space="preserve">1.1. </w:t>
      </w:r>
      <w:r w:rsidR="00237C85" w:rsidRPr="00B977E0">
        <w:rPr>
          <w:rFonts w:ascii="Times New Roman" w:hAnsi="Times New Roman" w:cs="Times New Roman"/>
          <w:b/>
        </w:rPr>
        <w:t>Definicije</w:t>
      </w:r>
    </w:p>
    <w:p w:rsidR="0021326B" w:rsidRDefault="0021326B" w:rsidP="00382395">
      <w:pPr>
        <w:tabs>
          <w:tab w:val="left" w:pos="709"/>
        </w:tabs>
        <w:spacing w:line="276" w:lineRule="auto"/>
        <w:rPr>
          <w:rFonts w:ascii="Times New Roman" w:hAnsi="Times New Roman"/>
        </w:rPr>
      </w:pPr>
    </w:p>
    <w:p w:rsidR="0021326B" w:rsidRDefault="00DB3F69">
      <w:pPr>
        <w:spacing w:line="276" w:lineRule="auto"/>
        <w:ind w:right="-108"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 odredbe Zakona ugrađene su definicije preuzete iz regulative Europske unije te u smislu Zakona i</w:t>
      </w:r>
      <w:r w:rsidR="001A36FB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Godišnjeg izvješća za 20</w:t>
      </w:r>
      <w:r w:rsidR="00846F4E">
        <w:rPr>
          <w:rFonts w:ascii="Times New Roman" w:eastAsia="Times New Roman" w:hAnsi="Times New Roman"/>
          <w:lang w:eastAsia="hr-HR"/>
        </w:rPr>
        <w:t>21</w:t>
      </w:r>
      <w:r>
        <w:rPr>
          <w:rFonts w:ascii="Times New Roman" w:eastAsia="Times New Roman" w:hAnsi="Times New Roman"/>
          <w:lang w:eastAsia="hr-HR"/>
        </w:rPr>
        <w:t xml:space="preserve">. imaju sljedeće značenje: </w:t>
      </w:r>
    </w:p>
    <w:p w:rsidR="0021326B" w:rsidRDefault="00DB3F69">
      <w:pPr>
        <w:pStyle w:val="ListParagraph"/>
        <w:numPr>
          <w:ilvl w:val="0"/>
          <w:numId w:val="4"/>
        </w:num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>„Roba vojne namjene“ je roba koja je uglavnom, ali ne isključivo, konstruirana, izrađena, sastavljena ili modificirana za vojnu namjenu, uključujući tehnologiju i softver povezan uz tu robu te je navedena u Popisu robe vojne namjene.</w:t>
      </w:r>
    </w:p>
    <w:p w:rsidR="0021326B" w:rsidRDefault="008F7BE6">
      <w:pPr>
        <w:pStyle w:val="ListParagraph"/>
        <w:numPr>
          <w:ilvl w:val="0"/>
          <w:numId w:val="4"/>
        </w:num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„Obrambeni proizvod“ </w:t>
      </w:r>
      <w:r w:rsidR="00DB3F69">
        <w:rPr>
          <w:rFonts w:ascii="Times New Roman" w:eastAsia="Times New Roman" w:hAnsi="Times New Roman"/>
          <w:lang w:eastAsia="hr-HR"/>
        </w:rPr>
        <w:t>podrazumijeva svaki proizvod naveden u Popisu obrambenih proizvoda koji određuje Europska komisija.</w:t>
      </w:r>
    </w:p>
    <w:p w:rsidR="0021326B" w:rsidRDefault="00DB3F69">
      <w:pPr>
        <w:pStyle w:val="ListParagraph"/>
        <w:numPr>
          <w:ilvl w:val="0"/>
          <w:numId w:val="4"/>
        </w:num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>„Nevojna ubojna sredstva“ podrazumijevaju robu navedenu u Popisu nevojnih ubojnih sredstava za komercijalne svrhe. Popis nevojnih ubojnih sredstava, definiran u Prilogu III. Uredbe o</w:t>
      </w:r>
      <w:r w:rsidR="001A36FB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popisu robe vojne namjene, obrambenih proizvoda i nevojnih ubojnih sredstava (Nar</w:t>
      </w:r>
      <w:r w:rsidR="00EC7083">
        <w:rPr>
          <w:rFonts w:ascii="Times New Roman" w:eastAsia="Times New Roman" w:hAnsi="Times New Roman"/>
          <w:lang w:eastAsia="hr-HR"/>
        </w:rPr>
        <w:t xml:space="preserve">odne novine, br. 26/18, 37/18, </w:t>
      </w:r>
      <w:r>
        <w:rPr>
          <w:rFonts w:ascii="Times New Roman" w:eastAsia="Times New Roman" w:hAnsi="Times New Roman"/>
          <w:lang w:eastAsia="hr-HR"/>
        </w:rPr>
        <w:t>63/19</w:t>
      </w:r>
      <w:r w:rsidR="00EC7083">
        <w:rPr>
          <w:rFonts w:ascii="Times New Roman" w:eastAsia="Times New Roman" w:hAnsi="Times New Roman"/>
          <w:lang w:eastAsia="hr-HR"/>
        </w:rPr>
        <w:t xml:space="preserve"> i 107/21</w:t>
      </w:r>
      <w:r>
        <w:rPr>
          <w:rFonts w:ascii="Times New Roman" w:eastAsia="Times New Roman" w:hAnsi="Times New Roman"/>
          <w:lang w:eastAsia="hr-HR"/>
        </w:rPr>
        <w:t xml:space="preserve">), je nacionalni </w:t>
      </w:r>
      <w:r w:rsidRPr="001674C1">
        <w:rPr>
          <w:rFonts w:ascii="Times New Roman" w:eastAsia="Times New Roman" w:hAnsi="Times New Roman"/>
          <w:lang w:eastAsia="hr-HR"/>
        </w:rPr>
        <w:t>propis,</w:t>
      </w:r>
      <w:r>
        <w:rPr>
          <w:rFonts w:ascii="Times New Roman" w:eastAsia="Times New Roman" w:hAnsi="Times New Roman"/>
          <w:lang w:eastAsia="hr-HR"/>
        </w:rPr>
        <w:t xml:space="preserve"> a svaka država članica Europske unije ima mogućnost sama odlučivati koja vrsta ubojnih sredstava će se nalaziti na njezinom nacionalnom popisu. U nevojna ubojna sredstva spadaju lovačko i sportsko oružje te dijelovi tog oružja, lovačko i sportsko streljivo i njegovi dijelovi te gospodarski eksplozivi, baruti i određeni pirotehnički proizvodi.</w:t>
      </w:r>
    </w:p>
    <w:p w:rsidR="0021326B" w:rsidRDefault="00DB3F6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„Usluge“ čine pribavljanje koristi, prenošenje prava te ostale poslovne aktivnosti koje se odnose na robu vojne namjene, uključujući brokerske usluge i tehničku pomoć.</w:t>
      </w:r>
    </w:p>
    <w:p w:rsidR="0021326B" w:rsidRDefault="00DB3F6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lastRenderedPageBreak/>
        <w:t>„Brokerske usluge“ čini pregovaranje ili ugovaranje poslova za kupnju, prodaju ili nabavu robe vojne namjene, navedenu u Popisu robe vojne namjene, iz jedne strane države u bilo koju drugu stranu državu te prodaju i kupnju robe vojne namjene navedene u Popisu robe vojne namjene koja se nalazi u jednoj stranoj državi za prijenos u drugu stranu državu. Brokerskim uslugama ne smatraju se pomoćne usluge. Pomoćne usluge su prijevozništvo, financijske usluge, osiguranje ili reosiguranje i oglašavanje ili promidžba.</w:t>
      </w:r>
    </w:p>
    <w:p w:rsidR="0021326B" w:rsidRDefault="00DB3F6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„Tehnička pomoć“ predstavlja svaku pomoć u svezi s popravkom, razvojem, proizvodnjom, sastavljanjem, testiranjem ili održavanjem</w:t>
      </w:r>
      <w:r w:rsidR="000D4E29">
        <w:rPr>
          <w:rFonts w:ascii="Times New Roman" w:eastAsia="Times New Roman" w:hAnsi="Times New Roman"/>
          <w:lang w:eastAsia="hr-HR"/>
        </w:rPr>
        <w:t xml:space="preserve"> robe vojne namjene te bilo koju</w:t>
      </w:r>
      <w:r>
        <w:rPr>
          <w:rFonts w:ascii="Times New Roman" w:eastAsia="Times New Roman" w:hAnsi="Times New Roman"/>
          <w:lang w:eastAsia="hr-HR"/>
        </w:rPr>
        <w:t xml:space="preserve"> drug</w:t>
      </w:r>
      <w:r w:rsidR="000D4E29">
        <w:rPr>
          <w:rFonts w:ascii="Times New Roman" w:eastAsia="Times New Roman" w:hAnsi="Times New Roman"/>
          <w:lang w:eastAsia="hr-HR"/>
        </w:rPr>
        <w:t>u</w:t>
      </w:r>
      <w:r>
        <w:rPr>
          <w:rFonts w:ascii="Times New Roman" w:eastAsia="Times New Roman" w:hAnsi="Times New Roman"/>
          <w:lang w:eastAsia="hr-HR"/>
        </w:rPr>
        <w:t xml:space="preserve"> pomoć koja se tehnički odnosi na robu vojne namjene</w:t>
      </w:r>
      <w:r w:rsidR="000D4E29">
        <w:rPr>
          <w:rFonts w:ascii="Times New Roman" w:eastAsia="Times New Roman" w:hAnsi="Times New Roman"/>
          <w:lang w:eastAsia="hr-HR"/>
        </w:rPr>
        <w:t>, a</w:t>
      </w:r>
      <w:r>
        <w:rPr>
          <w:rFonts w:ascii="Times New Roman" w:eastAsia="Times New Roman" w:hAnsi="Times New Roman"/>
          <w:lang w:eastAsia="hr-HR"/>
        </w:rPr>
        <w:t xml:space="preserve"> koja može imati oblik upute, osposobljavanja, prijenosa poslovnog znanja i stručnih ili savjetodavnih usluga. Tehnička pomoć uključuje i usmene oblike pomoći, pisane ili glasovne instrukcije, treninge, prijenose poslovnog znanja ili vještina ili konzultantske usluge.</w:t>
      </w:r>
    </w:p>
    <w:p w:rsidR="0021326B" w:rsidRPr="00382395" w:rsidRDefault="00DB3F6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r-HR"/>
        </w:rPr>
        <w:t>„Prijenos“ podrazumijeva svaki transfer ili kretanje obrambenih proizvoda od dobavljača u jednoj državi članici Europske unije do primatelja u drugoj državi članici Europske unije.</w:t>
      </w:r>
    </w:p>
    <w:p w:rsidR="00382395" w:rsidRDefault="00382395" w:rsidP="00382395">
      <w:pPr>
        <w:pStyle w:val="ListParagraph"/>
        <w:spacing w:line="276" w:lineRule="auto"/>
        <w:ind w:left="1068"/>
        <w:jc w:val="both"/>
        <w:rPr>
          <w:rFonts w:ascii="Times New Roman" w:eastAsia="Times New Roman" w:hAnsi="Times New Roman"/>
          <w:lang w:eastAsia="hr-HR"/>
        </w:rPr>
      </w:pPr>
    </w:p>
    <w:p w:rsidR="00382395" w:rsidRPr="00660BF1" w:rsidRDefault="00382395" w:rsidP="00382395">
      <w:pPr>
        <w:pStyle w:val="ListParagraph"/>
        <w:spacing w:line="276" w:lineRule="auto"/>
        <w:ind w:left="1068"/>
        <w:jc w:val="both"/>
        <w:rPr>
          <w:rFonts w:ascii="Times New Roman" w:hAnsi="Times New Roman"/>
          <w:b/>
        </w:rPr>
      </w:pPr>
    </w:p>
    <w:p w:rsidR="0021326B" w:rsidRPr="00660BF1" w:rsidRDefault="00382395" w:rsidP="00382395">
      <w:pPr>
        <w:pStyle w:val="Heading2"/>
        <w:spacing w:line="276" w:lineRule="auto"/>
        <w:ind w:left="709" w:firstLine="0"/>
        <w:rPr>
          <w:rFonts w:ascii="Times New Roman" w:hAnsi="Times New Roman" w:cs="Times New Roman"/>
          <w:b/>
        </w:rPr>
      </w:pPr>
      <w:r w:rsidRPr="00660BF1">
        <w:rPr>
          <w:rFonts w:ascii="Times New Roman" w:hAnsi="Times New Roman" w:cs="Times New Roman"/>
          <w:b/>
        </w:rPr>
        <w:t>1.2. U</w:t>
      </w:r>
      <w:r w:rsidR="00237C85" w:rsidRPr="00660BF1">
        <w:rPr>
          <w:rFonts w:ascii="Times New Roman" w:hAnsi="Times New Roman" w:cs="Times New Roman"/>
          <w:b/>
        </w:rPr>
        <w:t>vjeti za izvoz i uvoz robe vojne namjene i nevojnih ubojnih sredstava te prijenos obrambenih proizvoda unutar Europske unije</w:t>
      </w:r>
    </w:p>
    <w:p w:rsidR="0021326B" w:rsidRDefault="0021326B">
      <w:pPr>
        <w:spacing w:line="276" w:lineRule="auto"/>
        <w:rPr>
          <w:rFonts w:ascii="Times New Roman" w:hAnsi="Times New Roman"/>
        </w:rPr>
      </w:pPr>
    </w:p>
    <w:p w:rsidR="0021326B" w:rsidRDefault="00DB3F69">
      <w:pPr>
        <w:spacing w:line="276" w:lineRule="auto"/>
        <w:ind w:right="72"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Zakonom su propisani uvjeti za izvoz i uvoz robe, pružanje usluga te prijenos obrambenih proizvoda između država članica Europske unije, ovlasti za izdavanje dozvola za izvoz/uvoz, prijenos obrambenih proizvoda te pružanje usluga koje se odnose na robu vojne namjene, nadležnosti tijela državne uprave koja sudjeluju u njegovoj provedbi, prava i obveze izvoznika, uvoznika i pružatelja usluga, uvjeti za obavljanje djelatnosti propisanih navedenim Zakonom te nadzor i upravne mjere za prekršitelje Zakona kada su ugroženi nacionalni ili vanjskopolitički interesi Republike Hrvatske.</w:t>
      </w:r>
    </w:p>
    <w:p w:rsidR="0021326B" w:rsidRDefault="0021326B">
      <w:pPr>
        <w:spacing w:line="276" w:lineRule="auto"/>
        <w:ind w:right="72"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>
      <w:pPr>
        <w:spacing w:line="276" w:lineRule="auto"/>
        <w:ind w:right="72"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Izvoz/uvoz robe vojne namjene i nevojnih ubojnih sredstava te prijenos obrambenih proizvoda, temeljem Zakona, mogu obavljati samo pravne i fizičke osobe – obrtnici upisane u Očevidnik izvoznika i uvoznika robe vojne namjene i nevojnih ubojnih sredstava.</w:t>
      </w:r>
    </w:p>
    <w:p w:rsidR="0021326B" w:rsidRDefault="0021326B">
      <w:pPr>
        <w:spacing w:line="276" w:lineRule="auto"/>
        <w:ind w:right="72"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Pružanjem usluga mogu se baviti osobe registrirane za obavljanje djelatnosti proizvodnje, odnosno posredovanja na domaćem i inozemnom tržištu robom navedenom u Popisu robe vojne namjene, sa sjedištem na teritoriju Republike Hrvatske te upisane u Očevidnik pružatelja usluga za robu vojne namjene.</w:t>
      </w:r>
    </w:p>
    <w:p w:rsidR="00237C85" w:rsidRDefault="00237C85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>
      <w:pPr>
        <w:ind w:left="2268" w:hanging="15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Tablica br. 1.</w:t>
      </w:r>
      <w:r>
        <w:rPr>
          <w:rFonts w:ascii="Times New Roman" w:hAnsi="Times New Roman"/>
        </w:rPr>
        <w:tab/>
        <w:t>Broj trgovačkih društava upisanih u Očevidnike do 31. prosinca 20</w:t>
      </w:r>
      <w:r w:rsidR="00B73FFC">
        <w:rPr>
          <w:rFonts w:ascii="Times New Roman" w:hAnsi="Times New Roman"/>
        </w:rPr>
        <w:t>2</w:t>
      </w:r>
      <w:r w:rsidR="0043308F">
        <w:rPr>
          <w:rFonts w:ascii="Times New Roman" w:hAnsi="Times New Roman"/>
        </w:rPr>
        <w:t>1</w:t>
      </w:r>
      <w:r>
        <w:rPr>
          <w:rFonts w:ascii="Times New Roman" w:hAnsi="Times New Roman"/>
        </w:rPr>
        <w:t>. godine</w:t>
      </w:r>
    </w:p>
    <w:p w:rsidR="0021326B" w:rsidRDefault="0021326B">
      <w:pPr>
        <w:jc w:val="both"/>
        <w:rPr>
          <w:rFonts w:ascii="Times New Roman" w:hAnsi="Times New Roman"/>
        </w:rPr>
      </w:pPr>
    </w:p>
    <w:tbl>
      <w:tblPr>
        <w:tblW w:w="4832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198"/>
        <w:gridCol w:w="2480"/>
      </w:tblGrid>
      <w:tr w:rsidR="0021326B">
        <w:tc>
          <w:tcPr>
            <w:tcW w:w="3571" w:type="pct"/>
            <w:shd w:val="clear" w:color="auto" w:fill="auto"/>
            <w:vAlign w:val="center"/>
          </w:tcPr>
          <w:p w:rsidR="0021326B" w:rsidRDefault="00DB3F69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Trgovačka društva upisana u Očevidnik izvoznika i uvoznika robe vojne namjene i nevojnih ubojnih sredstava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21326B" w:rsidRPr="00237C85" w:rsidRDefault="00846F4E">
            <w:pPr>
              <w:jc w:val="center"/>
              <w:rPr>
                <w:rFonts w:ascii="Times New Roman" w:eastAsia="Times New Roman" w:hAnsi="Times New Roman"/>
                <w:caps/>
                <w:lang w:eastAsia="hr-HR"/>
              </w:rPr>
            </w:pPr>
            <w:r>
              <w:rPr>
                <w:rFonts w:ascii="Times New Roman" w:eastAsia="Times New Roman" w:hAnsi="Times New Roman"/>
                <w:caps/>
                <w:lang w:eastAsia="hr-HR"/>
              </w:rPr>
              <w:t>269</w:t>
            </w:r>
          </w:p>
        </w:tc>
      </w:tr>
      <w:tr w:rsidR="0021326B">
        <w:trPr>
          <w:trHeight w:val="752"/>
        </w:trPr>
        <w:tc>
          <w:tcPr>
            <w:tcW w:w="3571" w:type="pct"/>
            <w:shd w:val="clear" w:color="auto" w:fill="auto"/>
            <w:vAlign w:val="center"/>
          </w:tcPr>
          <w:p w:rsidR="0021326B" w:rsidRDefault="00DB3F69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Trgovačka društva upisana u Očevidnik pružatelja usluga za robu vojne namjene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21326B" w:rsidRPr="00237C85" w:rsidRDefault="00DB3F69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237C85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846F4E">
              <w:rPr>
                <w:rFonts w:ascii="Times New Roman" w:eastAsia="Times New Roman" w:hAnsi="Times New Roman"/>
                <w:lang w:eastAsia="hr-HR"/>
              </w:rPr>
              <w:t>51</w:t>
            </w:r>
          </w:p>
        </w:tc>
      </w:tr>
    </w:tbl>
    <w:p w:rsidR="0021326B" w:rsidRDefault="00382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B3F69">
        <w:rPr>
          <w:rFonts w:ascii="Times New Roman" w:hAnsi="Times New Roman"/>
        </w:rPr>
        <w:t>* Izvor: evidencija Ministarstva gospodarstva</w:t>
      </w:r>
      <w:r w:rsidR="00F91724">
        <w:rPr>
          <w:rFonts w:ascii="Times New Roman" w:hAnsi="Times New Roman"/>
        </w:rPr>
        <w:t xml:space="preserve"> i održivog razvoja</w:t>
      </w:r>
    </w:p>
    <w:p w:rsidR="0021326B" w:rsidRDefault="00DB3F69">
      <w:pPr>
        <w:spacing w:line="276" w:lineRule="auto"/>
        <w:ind w:right="72"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U skladu sa člankom 5. Zakona propisano je da dozvole za izvoz i uvoz, pružanje usluga i prijenos obrambenih proizvoda, izdaje ministarstvo nadležno za gospodarstvo temeljem suglasnosti Povjerenstva za davanje suglasnosti za izvoz i uvoz robe vojne namjene i nevojnih ubojnih sredstava, prijenos obrambenih proizvoda te pružanje usluga za robu vojne namjene (u daljnjem tekstu: Povjerenstvo). Povjerenstvo čine predstavnici ministarstava nadležnih za obranu, unutarnje poslove, vanjske poslove, carinu i gospodarstvo. Suglasnost za izdavanje dozvola daje se jednoglasnom odlukom svih članova Povjerenstva. </w:t>
      </w:r>
    </w:p>
    <w:p w:rsidR="0021326B" w:rsidRDefault="0021326B" w:rsidP="002E3842">
      <w:pPr>
        <w:spacing w:line="276" w:lineRule="auto"/>
        <w:ind w:right="72"/>
        <w:jc w:val="both"/>
        <w:rPr>
          <w:rFonts w:ascii="Times New Roman" w:eastAsia="Times New Roman" w:hAnsi="Times New Roman"/>
          <w:bCs/>
          <w:lang w:eastAsia="hr-HR"/>
        </w:rPr>
      </w:pPr>
    </w:p>
    <w:p w:rsidR="0021326B" w:rsidRDefault="00123DE3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Osim pojedinačne dozvole za izvoz, </w:t>
      </w:r>
      <w:r w:rsidR="00DB3F69">
        <w:rPr>
          <w:rFonts w:ascii="Times New Roman" w:eastAsia="Times New Roman" w:hAnsi="Times New Roman"/>
          <w:lang w:eastAsia="hr-HR"/>
        </w:rPr>
        <w:t>Zakon omogućava izdavanje</w:t>
      </w:r>
      <w:r>
        <w:rPr>
          <w:rFonts w:ascii="Times New Roman" w:eastAsia="Times New Roman" w:hAnsi="Times New Roman"/>
          <w:lang w:eastAsia="hr-HR"/>
        </w:rPr>
        <w:t xml:space="preserve"> i</w:t>
      </w:r>
      <w:r w:rsidR="00DB3F69">
        <w:rPr>
          <w:rFonts w:ascii="Times New Roman" w:eastAsia="Times New Roman" w:hAnsi="Times New Roman"/>
          <w:lang w:eastAsia="hr-HR"/>
        </w:rPr>
        <w:t xml:space="preserve"> globalne izvozne dozvole za izvoz istovrsne robe vojne namjene u jednu ili više država, uzimajući u obzir vrstu robe i dugoročnost izvoznog posla te državu u koju se ta roba izvozi. Međutim, globalna izvozna dozvola može se izdati samo za izvoz oklopne ili zaštitne opreme, konstrukcija i komponenti iz kategorije ML13. Popisa robe vojne namjene za potrebe međunarodnih javnih natječaja, ispitivanja, izložbe ili prezentacije, s rokom važenja do jedne godine i ne može se više produžiti.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 obzirom na to da postupak izdavanja dozvola zahtijeva određeno vremensko razdoblje, propisivanjem ove odredbe omogućeno je domaćim proizvođačima zaštitne opreme sudjelovanje na međunarodnim javnim natječajima, ispitivanjima, izložbama ili prezentacijama u dužem vremenskom razdoblju.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Globalna dozvola za prijenos izdaje se za prijenos obrambenih proizvoda prema primateljima u državama članicama Europske unije. Stranka temeljem te dozvole ima pravo prijenosa u neograničenoj količini i vrijednosti robe temeljem jedne dozvole tijekom 3 godine. Na taj se način pridonosi ubrzavanju procesa isporuke i smanjenju administrativnih prepreka.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r-HR"/>
        </w:rPr>
        <w:t>Opća dozvola za prijenos izdaje se za prijenos obrambenih proizvoda primateljima u drugim državama članicama Europske unije te primateljima u Republici Hrvatskoj koji zadovoljavaju</w:t>
      </w:r>
      <w:r w:rsidR="002E3842">
        <w:rPr>
          <w:rFonts w:ascii="Times New Roman" w:eastAsia="Times New Roman" w:hAnsi="Times New Roman"/>
          <w:lang w:eastAsia="hr-HR"/>
        </w:rPr>
        <w:t xml:space="preserve"> uvjete navedene u dozvoli. Opće dozvole nalaze</w:t>
      </w:r>
      <w:r>
        <w:rPr>
          <w:rFonts w:ascii="Times New Roman" w:eastAsia="Times New Roman" w:hAnsi="Times New Roman"/>
          <w:lang w:eastAsia="hr-HR"/>
        </w:rPr>
        <w:t xml:space="preserve"> se na </w:t>
      </w:r>
      <w:r>
        <w:rPr>
          <w:rFonts w:ascii="Times New Roman" w:hAnsi="Times New Roman"/>
        </w:rPr>
        <w:t>internetskoj stranici Ministarstva gospodarstva</w:t>
      </w:r>
      <w:r w:rsidR="00B86593">
        <w:rPr>
          <w:rFonts w:ascii="Times New Roman" w:hAnsi="Times New Roman"/>
        </w:rPr>
        <w:t xml:space="preserve"> i održivog razvoja</w:t>
      </w:r>
      <w:r>
        <w:rPr>
          <w:rFonts w:ascii="Times New Roman" w:hAnsi="Times New Roman"/>
        </w:rPr>
        <w:t xml:space="preserve"> te se stranke ne obraćaju Ministarstvu za njezino izdavanje. Stranke imaju pravo izvoza u neograničenoj količini i vrijednosti robe temeljem jedne dozvole tijekom 5 godina. Na taj način se uvelike smanjuju administrativne prepreke jer nije potrebno tražiti dozvolu za svaki prijenos.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Preduvjet za izdavanje globalne dozvole za prijenos i opće dozvo</w:t>
      </w:r>
      <w:r w:rsidR="0025697D">
        <w:rPr>
          <w:rFonts w:ascii="Times New Roman" w:eastAsia="Times New Roman" w:hAnsi="Times New Roman"/>
          <w:lang w:eastAsia="hr-HR"/>
        </w:rPr>
        <w:t xml:space="preserve">le za prijenos je uspostavljen </w:t>
      </w:r>
      <w:r w:rsidR="00DF4F50" w:rsidRPr="00DF4F50">
        <w:rPr>
          <w:rFonts w:ascii="Times New Roman" w:eastAsia="Times New Roman" w:hAnsi="Times New Roman"/>
          <w:lang w:eastAsia="hr-HR"/>
        </w:rPr>
        <w:t>p</w:t>
      </w:r>
      <w:r w:rsidRPr="00DF4F50">
        <w:rPr>
          <w:rFonts w:ascii="Times New Roman" w:eastAsia="Times New Roman" w:hAnsi="Times New Roman"/>
          <w:lang w:eastAsia="hr-HR"/>
        </w:rPr>
        <w:t>ro</w:t>
      </w:r>
      <w:r>
        <w:rPr>
          <w:rFonts w:ascii="Times New Roman" w:eastAsia="Times New Roman" w:hAnsi="Times New Roman"/>
          <w:lang w:eastAsia="hr-HR"/>
        </w:rPr>
        <w:t>gram unutarnje usklađenosti (u daljnjem tekstu: PUU), kojim su utvrđena pravila postupanja i odgovornosti unutar gospodarskog subjekta (imenovanje zaposlenika odgovornih za kontrolu prijenosa odnosno izvoza/uvoza, vođenje administrativne i transakcijske evidencije, obuka zaposlenika, obrada naloga u skladu s PUU-om i dr.).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lastRenderedPageBreak/>
        <w:t xml:space="preserve">Zahtjev za verifikaciju PUU-a pravna osoba ili fizička osoba – obrtnik dostavlja Ministarstvu </w:t>
      </w:r>
      <w:r w:rsidRPr="00901A6D">
        <w:rPr>
          <w:rFonts w:ascii="Times New Roman" w:eastAsia="Times New Roman" w:hAnsi="Times New Roman"/>
          <w:lang w:eastAsia="hr-HR"/>
        </w:rPr>
        <w:t>gospodarstva</w:t>
      </w:r>
      <w:r w:rsidR="00901A6D" w:rsidRPr="00901A6D">
        <w:rPr>
          <w:rFonts w:ascii="Times New Roman" w:eastAsia="Times New Roman" w:hAnsi="Times New Roman"/>
          <w:lang w:eastAsia="hr-HR"/>
        </w:rPr>
        <w:t xml:space="preserve"> i održivog razvoja</w:t>
      </w:r>
      <w:r w:rsidRPr="00901A6D">
        <w:rPr>
          <w:rFonts w:ascii="Times New Roman" w:eastAsia="Times New Roman" w:hAnsi="Times New Roman"/>
          <w:lang w:eastAsia="hr-HR"/>
        </w:rPr>
        <w:t>.</w:t>
      </w:r>
      <w:r>
        <w:rPr>
          <w:rFonts w:ascii="Times New Roman" w:eastAsia="Times New Roman" w:hAnsi="Times New Roman"/>
          <w:lang w:eastAsia="hr-HR"/>
        </w:rPr>
        <w:t xml:space="preserve"> Verifikaciju usklađenosti PUU-a s propisanim uvjetima obavlja Povjerenstvo, a Ministarstvo gospodarstva</w:t>
      </w:r>
      <w:r w:rsidR="00B73FFC">
        <w:rPr>
          <w:rFonts w:ascii="Times New Roman" w:eastAsia="Times New Roman" w:hAnsi="Times New Roman"/>
          <w:lang w:eastAsia="hr-HR"/>
        </w:rPr>
        <w:t xml:space="preserve"> i održivog razvoja</w:t>
      </w:r>
      <w:r>
        <w:rPr>
          <w:rFonts w:ascii="Times New Roman" w:eastAsia="Times New Roman" w:hAnsi="Times New Roman"/>
          <w:lang w:eastAsia="hr-HR"/>
        </w:rPr>
        <w:t xml:space="preserve">, nakon pozitivnog mišljenja Povjerenstva, izdaje rješenje o uspostavljenom PUU, </w:t>
      </w:r>
      <w:r w:rsidR="00B73FFC">
        <w:rPr>
          <w:rFonts w:ascii="Times New Roman" w:eastAsia="Times New Roman" w:hAnsi="Times New Roman"/>
          <w:lang w:eastAsia="hr-HR"/>
        </w:rPr>
        <w:t>na temelju</w:t>
      </w:r>
      <w:r>
        <w:rPr>
          <w:rFonts w:ascii="Times New Roman" w:eastAsia="Times New Roman" w:hAnsi="Times New Roman"/>
          <w:lang w:eastAsia="hr-HR"/>
        </w:rPr>
        <w:t xml:space="preserve"> čega gospodarski subjekt stječe pravo na korištenje globalne i opće dozvole za prijenos.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Pravne i fizičke osobe – obrtnici koji će obrambene proizvode primati temeljem opće dozvole za prijenos izdane od druge države članice Europske unije podnose Ministarstvu gospodarstva</w:t>
      </w:r>
      <w:r w:rsidR="009A1624">
        <w:rPr>
          <w:rFonts w:ascii="Times New Roman" w:eastAsia="Times New Roman" w:hAnsi="Times New Roman"/>
          <w:lang w:eastAsia="hr-HR"/>
        </w:rPr>
        <w:t xml:space="preserve"> i održivog razvoja</w:t>
      </w:r>
      <w:r>
        <w:rPr>
          <w:rFonts w:ascii="Times New Roman" w:eastAsia="Times New Roman" w:hAnsi="Times New Roman"/>
          <w:lang w:eastAsia="hr-HR"/>
        </w:rPr>
        <w:t xml:space="preserve"> pisani zahtjev za izdavanje certifikata.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Izdanim certifikatom potvrđuje se pouzdanost primatelja, posebno što se tiče njegove sposobnosti poštivanja izvoznih ograničenja obrambenih proizvoda primljenih temeljem dozvole za prijenos iz druge države članice Europske unije.</w:t>
      </w:r>
    </w:p>
    <w:p w:rsidR="0021326B" w:rsidRDefault="0021326B">
      <w:pPr>
        <w:spacing w:line="276" w:lineRule="auto"/>
        <w:rPr>
          <w:rFonts w:ascii="Times New Roman" w:hAnsi="Times New Roman"/>
        </w:rPr>
      </w:pPr>
    </w:p>
    <w:p w:rsidR="0021326B" w:rsidRPr="00660BF1" w:rsidRDefault="00DB3F69" w:rsidP="00382395">
      <w:pPr>
        <w:pStyle w:val="Heading2"/>
        <w:spacing w:line="276" w:lineRule="auto"/>
        <w:ind w:left="709" w:firstLine="0"/>
        <w:rPr>
          <w:rFonts w:ascii="Times New Roman" w:hAnsi="Times New Roman" w:cs="Times New Roman"/>
          <w:b/>
        </w:rPr>
      </w:pPr>
      <w:r w:rsidRPr="00660BF1">
        <w:rPr>
          <w:rFonts w:ascii="Times New Roman" w:hAnsi="Times New Roman" w:cs="Times New Roman"/>
          <w:b/>
        </w:rPr>
        <w:t>1.3. B</w:t>
      </w:r>
      <w:r w:rsidR="00382395" w:rsidRPr="00660BF1">
        <w:rPr>
          <w:rFonts w:ascii="Times New Roman" w:hAnsi="Times New Roman" w:cs="Times New Roman"/>
          <w:b/>
        </w:rPr>
        <w:t>aza podataka</w:t>
      </w:r>
    </w:p>
    <w:p w:rsidR="0021326B" w:rsidRDefault="0021326B">
      <w:pPr>
        <w:spacing w:line="276" w:lineRule="auto"/>
        <w:rPr>
          <w:rFonts w:ascii="Times New Roman" w:hAnsi="Times New Roman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Kako bi Ministarstvo gospodarstva</w:t>
      </w:r>
      <w:r w:rsidR="00B73FFC">
        <w:rPr>
          <w:rFonts w:ascii="Times New Roman" w:eastAsia="Times New Roman" w:hAnsi="Times New Roman"/>
          <w:lang w:eastAsia="hr-HR"/>
        </w:rPr>
        <w:t xml:space="preserve"> i održivog razvoja</w:t>
      </w:r>
      <w:r>
        <w:rPr>
          <w:rFonts w:ascii="Times New Roman" w:eastAsia="Times New Roman" w:hAnsi="Times New Roman"/>
          <w:lang w:eastAsia="hr-HR"/>
        </w:rPr>
        <w:t xml:space="preserve"> raspolagalo vjerodostojnim i točnim podacima o zatraženim, izdanim, odbijenim i realiziranim dozvolama, Zakon propisuje da su pravne osobe ili fizičke osobe – obrtnici koji obavljaju djelatnost izvoza/uvoza ili prijenosa navedenih roba i pružanja usluga, dužne u roku 15 dana od izvršenja posla izvijestiti Ministarstvo gospodarstva</w:t>
      </w:r>
      <w:r w:rsidR="00B73FFC">
        <w:rPr>
          <w:rFonts w:ascii="Times New Roman" w:eastAsia="Times New Roman" w:hAnsi="Times New Roman"/>
          <w:lang w:eastAsia="hr-HR"/>
        </w:rPr>
        <w:t xml:space="preserve"> i održivog razvoja</w:t>
      </w:r>
      <w:r>
        <w:rPr>
          <w:rFonts w:ascii="Times New Roman" w:eastAsia="Times New Roman" w:hAnsi="Times New Roman"/>
          <w:lang w:eastAsia="hr-HR"/>
        </w:rPr>
        <w:t xml:space="preserve"> pisanim putem ili putem elektroničke pošte o izvršenom izvozu/uvozu ili prijenosu te priložiti dokumentaciju temeljem koje je izvršen izvoz/uvoz/prijenos. Navedena dokumentacija mora sadržavati: obavijest o izvršenom prijenosu, presliku dozvole, presliku carinske deklaracije (u slučaju da je prijenosu obrambenog proizvoda prethodio njegov uvoz na teritorij Republike Hrvatske), serijske brojeve oružja, kao i ostalu dokumentaciju ovisno o vrsti robe.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t>U skladu s odredbama članka 6. Zakona, ministarstvo nadležno za obranu izdaje dozvole za uvoz za potrebe oružanih snaga Republike Hrvatske, a ministarstvo nadležno za unutarnje poslove izdaje dozvole za uvoz za potrebe policije. Također, dozvole za izvoz robe temeljem donacije Vlade</w:t>
      </w:r>
      <w:r w:rsidR="00BD2993">
        <w:rPr>
          <w:rFonts w:ascii="Times New Roman" w:eastAsia="Times New Roman" w:hAnsi="Times New Roman"/>
          <w:bCs/>
          <w:lang w:eastAsia="hr-HR"/>
        </w:rPr>
        <w:t xml:space="preserve"> </w:t>
      </w:r>
      <w:r w:rsidR="00BD2993" w:rsidRPr="00AB49C6">
        <w:rPr>
          <w:rFonts w:ascii="Times New Roman" w:eastAsia="Times New Roman" w:hAnsi="Times New Roman"/>
          <w:bCs/>
          <w:lang w:eastAsia="hr-HR"/>
        </w:rPr>
        <w:t>Republike Hrvatske</w:t>
      </w:r>
      <w:r>
        <w:rPr>
          <w:rFonts w:ascii="Times New Roman" w:eastAsia="Times New Roman" w:hAnsi="Times New Roman"/>
          <w:bCs/>
          <w:lang w:eastAsia="hr-HR"/>
        </w:rPr>
        <w:t xml:space="preserve"> izdaje ministarstvo nadležno za obranu, odnosno ministarstvo nadležno za unutarnje poslove u slučaju da se radi o robi iz njihove nadležnosti. Dozvole za izvoz robe temeljem međunarodnih vojnih sporazuma, čiji je potpisnik Republika Hrvatska, izdaje ministarstvo nadležno za obranu.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t>U skladu s odredbama Zakona o nadzoru robe s dvojnom namjenom (Narodne novine, br. 80/11 i 68/13), Ministarstvo vanjskih i europskih poslova izdaje dozvole za izvoz robe s dvojnom namjenom.</w:t>
      </w:r>
    </w:p>
    <w:p w:rsidR="00201FFF" w:rsidRDefault="00201FFF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</w:p>
    <w:p w:rsidR="0021326B" w:rsidRPr="00FF7C83" w:rsidRDefault="00382395" w:rsidP="00382395">
      <w:pPr>
        <w:pStyle w:val="Heading1"/>
        <w:spacing w:line="276" w:lineRule="auto"/>
        <w:rPr>
          <w:rFonts w:ascii="Times New Roman" w:hAnsi="Times New Roman" w:cs="Times New Roman"/>
          <w:b/>
          <w:szCs w:val="24"/>
        </w:rPr>
      </w:pPr>
      <w:r w:rsidRPr="00FF7C83">
        <w:rPr>
          <w:rFonts w:ascii="Times New Roman" w:hAnsi="Times New Roman" w:cs="Times New Roman"/>
          <w:b/>
          <w:szCs w:val="24"/>
        </w:rPr>
        <w:t>2. Izvješće o izdanim dozvolama za izvoz/prijenos, uvoz/prijenos i pružanje usluga</w:t>
      </w:r>
    </w:p>
    <w:p w:rsidR="0021326B" w:rsidRDefault="0021326B">
      <w:pPr>
        <w:spacing w:line="276" w:lineRule="auto"/>
        <w:rPr>
          <w:rFonts w:ascii="Times New Roman" w:hAnsi="Times New Roman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 temelju odredbi članka 25. Zakona o nadzoru prometa robe vojne namjene i nevojnih ubojnih sredstava, Ministarstvo gospodarstva</w:t>
      </w:r>
      <w:r w:rsidR="00F91724">
        <w:rPr>
          <w:rFonts w:ascii="Times New Roman" w:eastAsia="Times New Roman" w:hAnsi="Times New Roman"/>
          <w:lang w:eastAsia="hr-HR"/>
        </w:rPr>
        <w:t xml:space="preserve"> i održivog razvoja</w:t>
      </w:r>
      <w:r>
        <w:rPr>
          <w:rFonts w:ascii="Times New Roman" w:eastAsia="Times New Roman" w:hAnsi="Times New Roman"/>
          <w:lang w:eastAsia="hr-HR"/>
        </w:rPr>
        <w:t xml:space="preserve"> izradilo je Godišnje </w:t>
      </w:r>
      <w:r>
        <w:rPr>
          <w:rFonts w:ascii="Times New Roman" w:eastAsia="Times New Roman" w:hAnsi="Times New Roman"/>
          <w:lang w:eastAsia="hr-HR"/>
        </w:rPr>
        <w:lastRenderedPageBreak/>
        <w:t>izvješće o izvozu i uvozu robe vojne namjene i nevojnih ubojnih sredstava za komercijalne svrhe za 20</w:t>
      </w:r>
      <w:r w:rsidR="00BC1253">
        <w:rPr>
          <w:rFonts w:ascii="Times New Roman" w:eastAsia="Times New Roman" w:hAnsi="Times New Roman"/>
          <w:lang w:eastAsia="hr-HR"/>
        </w:rPr>
        <w:t>2</w:t>
      </w:r>
      <w:r w:rsidR="002717A2">
        <w:rPr>
          <w:rFonts w:ascii="Times New Roman" w:eastAsia="Times New Roman" w:hAnsi="Times New Roman"/>
          <w:lang w:eastAsia="hr-HR"/>
        </w:rPr>
        <w:t>1</w:t>
      </w:r>
      <w:r>
        <w:rPr>
          <w:rFonts w:ascii="Times New Roman" w:eastAsia="Times New Roman" w:hAnsi="Times New Roman"/>
          <w:lang w:eastAsia="hr-HR"/>
        </w:rPr>
        <w:t xml:space="preserve">. godinu. 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E12FB6" w:rsidRPr="00E12FB6" w:rsidRDefault="002717A2" w:rsidP="00E12FB6">
      <w:pPr>
        <w:spacing w:line="276" w:lineRule="auto"/>
        <w:ind w:right="72" w:firstLine="708"/>
        <w:jc w:val="both"/>
        <w:rPr>
          <w:rFonts w:ascii="Times New Roman" w:eastAsia="Times New Roman" w:hAnsi="Times New Roman"/>
          <w:bCs/>
          <w:lang w:eastAsia="hr-HR"/>
        </w:rPr>
      </w:pPr>
      <w:r w:rsidRPr="00635713">
        <w:rPr>
          <w:rFonts w:ascii="Times New Roman" w:eastAsia="Times New Roman" w:hAnsi="Times New Roman"/>
          <w:lang w:eastAsia="hr-HR"/>
        </w:rPr>
        <w:t>U 20</w:t>
      </w:r>
      <w:r>
        <w:rPr>
          <w:rFonts w:ascii="Times New Roman" w:eastAsia="Times New Roman" w:hAnsi="Times New Roman"/>
          <w:lang w:eastAsia="hr-HR"/>
        </w:rPr>
        <w:t>21</w:t>
      </w:r>
      <w:r w:rsidRPr="00635713">
        <w:rPr>
          <w:rFonts w:ascii="Times New Roman" w:eastAsia="Times New Roman" w:hAnsi="Times New Roman"/>
          <w:lang w:eastAsia="hr-HR"/>
        </w:rPr>
        <w:t xml:space="preserve">. godini </w:t>
      </w:r>
      <w:r w:rsidRPr="00635713">
        <w:rPr>
          <w:rFonts w:ascii="Times New Roman" w:eastAsia="Times New Roman" w:hAnsi="Times New Roman"/>
          <w:bCs/>
          <w:lang w:eastAsia="hr-HR"/>
        </w:rPr>
        <w:t xml:space="preserve">Povjerenstvo je održalo </w:t>
      </w:r>
      <w:r>
        <w:rPr>
          <w:rFonts w:ascii="Times New Roman" w:eastAsia="Times New Roman" w:hAnsi="Times New Roman"/>
          <w:bCs/>
          <w:lang w:eastAsia="hr-HR"/>
        </w:rPr>
        <w:t>26</w:t>
      </w:r>
      <w:r w:rsidRPr="00635713">
        <w:rPr>
          <w:rFonts w:ascii="Times New Roman" w:eastAsia="Times New Roman" w:hAnsi="Times New Roman"/>
          <w:bCs/>
          <w:lang w:eastAsia="hr-HR"/>
        </w:rPr>
        <w:t xml:space="preserve"> sjednica. Na dnevnom redu sjednica Povjerenstva bila su </w:t>
      </w:r>
      <w:r>
        <w:rPr>
          <w:rFonts w:ascii="Times New Roman" w:eastAsia="Times New Roman" w:hAnsi="Times New Roman"/>
          <w:bCs/>
          <w:lang w:eastAsia="hr-HR"/>
        </w:rPr>
        <w:t>1153</w:t>
      </w:r>
      <w:r w:rsidRPr="00635713">
        <w:rPr>
          <w:rFonts w:ascii="Times New Roman" w:eastAsia="Times New Roman" w:hAnsi="Times New Roman"/>
          <w:bCs/>
          <w:lang w:eastAsia="hr-HR"/>
        </w:rPr>
        <w:t xml:space="preserve"> zahtjeva za izdavanje dozvola. Za </w:t>
      </w:r>
      <w:r>
        <w:rPr>
          <w:rFonts w:ascii="Times New Roman" w:eastAsia="Times New Roman" w:hAnsi="Times New Roman"/>
          <w:bCs/>
          <w:lang w:eastAsia="hr-HR"/>
        </w:rPr>
        <w:t>16</w:t>
      </w:r>
      <w:r w:rsidRPr="00635713">
        <w:rPr>
          <w:rFonts w:ascii="Times New Roman" w:eastAsia="Times New Roman" w:hAnsi="Times New Roman"/>
          <w:bCs/>
          <w:lang w:eastAsia="hr-HR"/>
        </w:rPr>
        <w:t xml:space="preserve"> zahtjeva postupak je obustavljen ili su zahtjevi odbijeni ili odbačeni. Povjerenstvo je dalo suglasnost za izdavanje ukupno </w:t>
      </w:r>
      <w:r>
        <w:rPr>
          <w:rFonts w:ascii="Times New Roman" w:eastAsia="Times New Roman" w:hAnsi="Times New Roman"/>
          <w:bCs/>
          <w:lang w:eastAsia="hr-HR"/>
        </w:rPr>
        <w:t>1137</w:t>
      </w:r>
      <w:r w:rsidRPr="00635713">
        <w:rPr>
          <w:rFonts w:ascii="Times New Roman" w:eastAsia="Times New Roman" w:hAnsi="Times New Roman"/>
          <w:bCs/>
          <w:lang w:eastAsia="hr-HR"/>
        </w:rPr>
        <w:t xml:space="preserve"> dozvola, od toga za </w:t>
      </w:r>
      <w:r>
        <w:rPr>
          <w:rFonts w:ascii="Times New Roman" w:eastAsia="Times New Roman" w:hAnsi="Times New Roman"/>
          <w:bCs/>
          <w:lang w:eastAsia="hr-HR"/>
        </w:rPr>
        <w:t>965</w:t>
      </w:r>
      <w:r w:rsidRPr="00635713">
        <w:rPr>
          <w:rFonts w:ascii="Times New Roman" w:eastAsia="Times New Roman" w:hAnsi="Times New Roman"/>
          <w:bCs/>
          <w:lang w:eastAsia="hr-HR"/>
        </w:rPr>
        <w:t xml:space="preserve"> pojedinačnih dozvola za izvoz/uvoz/prijenos,</w:t>
      </w:r>
      <w:r>
        <w:rPr>
          <w:rFonts w:ascii="Times New Roman" w:eastAsia="Times New Roman" w:hAnsi="Times New Roman"/>
          <w:bCs/>
          <w:lang w:eastAsia="hr-HR"/>
        </w:rPr>
        <w:t xml:space="preserve"> 29</w:t>
      </w:r>
      <w:r w:rsidRPr="00635713">
        <w:rPr>
          <w:rFonts w:ascii="Times New Roman" w:eastAsia="Times New Roman" w:hAnsi="Times New Roman"/>
          <w:bCs/>
          <w:lang w:eastAsia="hr-HR"/>
        </w:rPr>
        <w:t xml:space="preserve"> globalnih dozvola i</w:t>
      </w:r>
      <w:r>
        <w:rPr>
          <w:rFonts w:ascii="Times New Roman" w:eastAsia="Times New Roman" w:hAnsi="Times New Roman"/>
          <w:bCs/>
          <w:lang w:eastAsia="hr-HR"/>
        </w:rPr>
        <w:t xml:space="preserve"> 138</w:t>
      </w:r>
      <w:r w:rsidRPr="00635713">
        <w:rPr>
          <w:rFonts w:ascii="Times New Roman" w:eastAsia="Times New Roman" w:hAnsi="Times New Roman"/>
          <w:bCs/>
          <w:lang w:eastAsia="hr-HR"/>
        </w:rPr>
        <w:t xml:space="preserve"> dozvola za privremeni izvoz, uvoz ili prijenos</w:t>
      </w:r>
      <w:r w:rsidR="00E12FB6" w:rsidRPr="00E12FB6">
        <w:rPr>
          <w:rFonts w:ascii="Times New Roman" w:eastAsia="Times New Roman" w:hAnsi="Times New Roman"/>
          <w:bCs/>
          <w:lang w:eastAsia="hr-HR"/>
        </w:rPr>
        <w:t>, 5 dozvola za pružanje usluga.</w:t>
      </w:r>
    </w:p>
    <w:p w:rsidR="00201FFF" w:rsidRDefault="00201FFF" w:rsidP="00E12FB6">
      <w:pPr>
        <w:spacing w:line="276" w:lineRule="auto"/>
        <w:ind w:right="72" w:firstLine="708"/>
        <w:jc w:val="both"/>
        <w:rPr>
          <w:rFonts w:ascii="Times New Roman" w:eastAsia="Times New Roman" w:hAnsi="Times New Roman"/>
          <w:lang w:eastAsia="hr-HR"/>
        </w:rPr>
      </w:pPr>
    </w:p>
    <w:p w:rsidR="00FF7C83" w:rsidRDefault="00FF7C83">
      <w:pPr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 w:rsidP="00FF7C83">
      <w:pPr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Tablica br. 2.</w:t>
      </w:r>
      <w:r>
        <w:rPr>
          <w:rFonts w:ascii="Times New Roman" w:hAnsi="Times New Roman"/>
        </w:rPr>
        <w:tab/>
        <w:t>Broj izdanih dozvola u 20</w:t>
      </w:r>
      <w:r w:rsidR="002717A2">
        <w:rPr>
          <w:rFonts w:ascii="Times New Roman" w:hAnsi="Times New Roman"/>
        </w:rPr>
        <w:t>21</w:t>
      </w:r>
      <w:r>
        <w:rPr>
          <w:rFonts w:ascii="Times New Roman" w:hAnsi="Times New Roman"/>
        </w:rPr>
        <w:t>. godini za izvoz/prijenos, pružanje usluga i uvoz/prijenos prema kategorijama</w:t>
      </w:r>
    </w:p>
    <w:p w:rsidR="00660BF1" w:rsidRDefault="00660BF1" w:rsidP="00FF7C83">
      <w:pPr>
        <w:ind w:left="1440" w:hanging="1440"/>
        <w:jc w:val="both"/>
        <w:rPr>
          <w:rFonts w:ascii="Times New Roman" w:hAnsi="Times New Roman"/>
        </w:rPr>
      </w:pPr>
    </w:p>
    <w:tbl>
      <w:tblPr>
        <w:tblStyle w:val="TableGrid2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560"/>
        <w:gridCol w:w="1559"/>
        <w:gridCol w:w="1701"/>
        <w:gridCol w:w="1559"/>
        <w:gridCol w:w="1276"/>
      </w:tblGrid>
      <w:tr w:rsidR="00D30B7E" w:rsidTr="00660BF1">
        <w:tc>
          <w:tcPr>
            <w:tcW w:w="1686" w:type="dxa"/>
            <w:vAlign w:val="center"/>
          </w:tcPr>
          <w:p w:rsidR="00D30B7E" w:rsidRPr="00FF7C83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D30B7E" w:rsidRPr="00FF7C83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ROBA VOJNE NAMJENE</w:t>
            </w:r>
          </w:p>
        </w:tc>
        <w:tc>
          <w:tcPr>
            <w:tcW w:w="1559" w:type="dxa"/>
            <w:vAlign w:val="center"/>
          </w:tcPr>
          <w:p w:rsidR="00D30B7E" w:rsidRPr="00FF7C83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NEVOJNA UBOJNA SREDSTVA</w:t>
            </w:r>
          </w:p>
        </w:tc>
        <w:tc>
          <w:tcPr>
            <w:tcW w:w="1701" w:type="dxa"/>
            <w:vAlign w:val="center"/>
          </w:tcPr>
          <w:p w:rsidR="00D30B7E" w:rsidRPr="00FF7C83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PRIVREMENI izvoz/prijenos/</w:t>
            </w:r>
          </w:p>
          <w:p w:rsidR="00D30B7E" w:rsidRPr="00FF7C83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uvoz</w:t>
            </w:r>
          </w:p>
        </w:tc>
        <w:tc>
          <w:tcPr>
            <w:tcW w:w="1559" w:type="dxa"/>
            <w:vAlign w:val="center"/>
          </w:tcPr>
          <w:p w:rsidR="00D30B7E" w:rsidRPr="00FF7C83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GLOBALNE –IZVOZ</w:t>
            </w:r>
          </w:p>
        </w:tc>
        <w:tc>
          <w:tcPr>
            <w:tcW w:w="1276" w:type="dxa"/>
            <w:vAlign w:val="center"/>
          </w:tcPr>
          <w:p w:rsidR="00D30B7E" w:rsidRPr="00FF7C83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UKUPNO</w:t>
            </w:r>
          </w:p>
        </w:tc>
      </w:tr>
      <w:tr w:rsidR="00D30B7E" w:rsidTr="00660BF1">
        <w:tc>
          <w:tcPr>
            <w:tcW w:w="1686" w:type="dxa"/>
          </w:tcPr>
          <w:p w:rsidR="00D30B7E" w:rsidRPr="00FF7C83" w:rsidRDefault="00D30B7E" w:rsidP="00AC7681">
            <w:pPr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Izvoz/prijenos</w:t>
            </w:r>
          </w:p>
        </w:tc>
        <w:tc>
          <w:tcPr>
            <w:tcW w:w="1560" w:type="dxa"/>
          </w:tcPr>
          <w:p w:rsidR="00D30B7E" w:rsidRPr="00FF7C83" w:rsidRDefault="002717A2" w:rsidP="00AC76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294</w:t>
            </w:r>
          </w:p>
        </w:tc>
        <w:tc>
          <w:tcPr>
            <w:tcW w:w="1559" w:type="dxa"/>
          </w:tcPr>
          <w:p w:rsidR="00D30B7E" w:rsidRPr="00FF7C83" w:rsidRDefault="002717A2" w:rsidP="00AC76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154</w:t>
            </w:r>
          </w:p>
        </w:tc>
        <w:tc>
          <w:tcPr>
            <w:tcW w:w="1701" w:type="dxa"/>
          </w:tcPr>
          <w:p w:rsidR="00D30B7E" w:rsidRPr="00FF7C83" w:rsidRDefault="002717A2" w:rsidP="00AC76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</w:t>
            </w:r>
          </w:p>
        </w:tc>
        <w:tc>
          <w:tcPr>
            <w:tcW w:w="1559" w:type="dxa"/>
          </w:tcPr>
          <w:p w:rsidR="00D30B7E" w:rsidRPr="00FF7C83" w:rsidRDefault="002717A2" w:rsidP="00AC76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276" w:type="dxa"/>
          </w:tcPr>
          <w:p w:rsidR="00D30B7E" w:rsidRPr="00FF7C83" w:rsidRDefault="007749D1" w:rsidP="002717A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546</w:t>
            </w:r>
          </w:p>
        </w:tc>
      </w:tr>
      <w:tr w:rsidR="00D30B7E" w:rsidTr="00660BF1">
        <w:tc>
          <w:tcPr>
            <w:tcW w:w="1686" w:type="dxa"/>
          </w:tcPr>
          <w:p w:rsidR="00D30B7E" w:rsidRPr="00FF7C83" w:rsidRDefault="00D30B7E" w:rsidP="00AC7681">
            <w:pPr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Uvoz/prijenos</w:t>
            </w:r>
          </w:p>
        </w:tc>
        <w:tc>
          <w:tcPr>
            <w:tcW w:w="1560" w:type="dxa"/>
          </w:tcPr>
          <w:p w:rsidR="00D30B7E" w:rsidRPr="00FF7C83" w:rsidRDefault="002717A2" w:rsidP="00AC76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310</w:t>
            </w:r>
          </w:p>
        </w:tc>
        <w:tc>
          <w:tcPr>
            <w:tcW w:w="1559" w:type="dxa"/>
          </w:tcPr>
          <w:p w:rsidR="00D30B7E" w:rsidRPr="00FF7C83" w:rsidRDefault="002717A2" w:rsidP="00AC76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207</w:t>
            </w:r>
          </w:p>
        </w:tc>
        <w:tc>
          <w:tcPr>
            <w:tcW w:w="1701" w:type="dxa"/>
          </w:tcPr>
          <w:p w:rsidR="00D30B7E" w:rsidRPr="00FF7C83" w:rsidRDefault="002717A2" w:rsidP="00AC76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</w:t>
            </w:r>
          </w:p>
        </w:tc>
        <w:tc>
          <w:tcPr>
            <w:tcW w:w="1559" w:type="dxa"/>
          </w:tcPr>
          <w:p w:rsidR="00D30B7E" w:rsidRPr="00FF7C83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6" w:type="dxa"/>
          </w:tcPr>
          <w:p w:rsidR="00D30B7E" w:rsidRPr="00FF7C83" w:rsidRDefault="007749D1" w:rsidP="00AC76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586</w:t>
            </w:r>
          </w:p>
        </w:tc>
      </w:tr>
      <w:tr w:rsidR="00D30B7E" w:rsidTr="00660BF1">
        <w:tc>
          <w:tcPr>
            <w:tcW w:w="1686" w:type="dxa"/>
          </w:tcPr>
          <w:p w:rsidR="00D30B7E" w:rsidRPr="00FF7C83" w:rsidRDefault="00D30B7E" w:rsidP="00AC7681">
            <w:pPr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Pružanje usluga</w:t>
            </w:r>
          </w:p>
        </w:tc>
        <w:tc>
          <w:tcPr>
            <w:tcW w:w="1560" w:type="dxa"/>
          </w:tcPr>
          <w:p w:rsidR="00D30B7E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</w:p>
          <w:p w:rsidR="002717A2" w:rsidRPr="00FF7C83" w:rsidRDefault="002717A2" w:rsidP="00AC76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59" w:type="dxa"/>
          </w:tcPr>
          <w:p w:rsidR="00D30B7E" w:rsidRPr="00FF7C83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D30B7E" w:rsidRPr="00FF7C83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9" w:type="dxa"/>
          </w:tcPr>
          <w:p w:rsidR="00D30B7E" w:rsidRPr="00FF7C83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6" w:type="dxa"/>
          </w:tcPr>
          <w:p w:rsidR="00D30B7E" w:rsidRDefault="00D30B7E" w:rsidP="00AC7681">
            <w:pPr>
              <w:jc w:val="center"/>
              <w:rPr>
                <w:rFonts w:ascii="Times New Roman" w:eastAsia="Times New Roman" w:hAnsi="Times New Roman"/>
              </w:rPr>
            </w:pPr>
          </w:p>
          <w:p w:rsidR="007749D1" w:rsidRPr="00FF7C83" w:rsidRDefault="007749D1" w:rsidP="00AC76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D30B7E" w:rsidTr="00660BF1">
        <w:tc>
          <w:tcPr>
            <w:tcW w:w="1686" w:type="dxa"/>
          </w:tcPr>
          <w:p w:rsidR="00D30B7E" w:rsidRPr="00FF7C83" w:rsidRDefault="00D30B7E" w:rsidP="00AC7681">
            <w:pPr>
              <w:rPr>
                <w:rFonts w:ascii="Times New Roman" w:eastAsia="Times New Roman" w:hAnsi="Times New Roman"/>
                <w:b/>
              </w:rPr>
            </w:pPr>
            <w:r w:rsidRPr="00FF7C83">
              <w:rPr>
                <w:rFonts w:ascii="Times New Roman" w:eastAsia="Times New Roman" w:hAnsi="Times New Roman"/>
                <w:b/>
              </w:rPr>
              <w:t>UKUPNO</w:t>
            </w:r>
          </w:p>
        </w:tc>
        <w:tc>
          <w:tcPr>
            <w:tcW w:w="1560" w:type="dxa"/>
          </w:tcPr>
          <w:p w:rsidR="00D30B7E" w:rsidRPr="00FF7C83" w:rsidRDefault="002717A2" w:rsidP="00AC768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609</w:t>
            </w:r>
          </w:p>
        </w:tc>
        <w:tc>
          <w:tcPr>
            <w:tcW w:w="1559" w:type="dxa"/>
          </w:tcPr>
          <w:p w:rsidR="00D30B7E" w:rsidRPr="00FF7C83" w:rsidRDefault="002717A2" w:rsidP="00AC768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361</w:t>
            </w:r>
          </w:p>
        </w:tc>
        <w:tc>
          <w:tcPr>
            <w:tcW w:w="1701" w:type="dxa"/>
          </w:tcPr>
          <w:p w:rsidR="00D30B7E" w:rsidRPr="00FF7C83" w:rsidRDefault="002717A2" w:rsidP="00AC768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138</w:t>
            </w:r>
          </w:p>
        </w:tc>
        <w:tc>
          <w:tcPr>
            <w:tcW w:w="1559" w:type="dxa"/>
          </w:tcPr>
          <w:p w:rsidR="00D30B7E" w:rsidRPr="00FF7C83" w:rsidRDefault="002717A2" w:rsidP="00AC768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29</w:t>
            </w:r>
          </w:p>
        </w:tc>
        <w:tc>
          <w:tcPr>
            <w:tcW w:w="1276" w:type="dxa"/>
          </w:tcPr>
          <w:p w:rsidR="00D30B7E" w:rsidRPr="00FF7C83" w:rsidRDefault="002717A2" w:rsidP="00AC768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1137</w:t>
            </w:r>
          </w:p>
        </w:tc>
      </w:tr>
    </w:tbl>
    <w:p w:rsidR="0050364A" w:rsidRDefault="0050364A">
      <w:pPr>
        <w:jc w:val="center"/>
        <w:rPr>
          <w:rFonts w:ascii="Times New Roman" w:hAnsi="Times New Roman"/>
          <w:b/>
        </w:rPr>
      </w:pPr>
    </w:p>
    <w:p w:rsidR="0050364A" w:rsidRDefault="0050364A">
      <w:pPr>
        <w:jc w:val="center"/>
        <w:rPr>
          <w:rFonts w:ascii="Times New Roman" w:hAnsi="Times New Roman"/>
          <w:b/>
        </w:rPr>
      </w:pPr>
    </w:p>
    <w:p w:rsidR="00660BF1" w:rsidRDefault="00660BF1">
      <w:pPr>
        <w:jc w:val="center"/>
        <w:rPr>
          <w:rFonts w:ascii="Times New Roman" w:hAnsi="Times New Roman"/>
          <w:b/>
        </w:rPr>
      </w:pPr>
    </w:p>
    <w:p w:rsidR="0021326B" w:rsidRDefault="00DB3F6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Graf br. 1 – U</w:t>
      </w:r>
      <w:r w:rsidR="0096628C">
        <w:rPr>
          <w:rFonts w:ascii="Times New Roman" w:hAnsi="Times New Roman"/>
          <w:b/>
        </w:rPr>
        <w:t>kupan broj izdanih dozvola u 2020</w:t>
      </w:r>
      <w:r>
        <w:rPr>
          <w:rFonts w:ascii="Times New Roman" w:hAnsi="Times New Roman"/>
          <w:b/>
        </w:rPr>
        <w:t>. i 20</w:t>
      </w:r>
      <w:r w:rsidR="0096628C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. godini</w:t>
      </w:r>
    </w:p>
    <w:p w:rsidR="0021326B" w:rsidRDefault="0021326B">
      <w:pPr>
        <w:jc w:val="both"/>
        <w:rPr>
          <w:rFonts w:ascii="Times New Roman" w:hAnsi="Times New Roman"/>
        </w:rPr>
      </w:pPr>
    </w:p>
    <w:p w:rsidR="0021326B" w:rsidRPr="00660BF1" w:rsidRDefault="00DB3F69" w:rsidP="00FF7C83">
      <w:pPr>
        <w:jc w:val="center"/>
        <w:rPr>
          <w:rFonts w:ascii="Times New Roman" w:hAnsi="Times New Roman"/>
          <w:i/>
        </w:rPr>
      </w:pPr>
      <w:r w:rsidRPr="00660BF1">
        <w:rPr>
          <w:rFonts w:ascii="Times New Roman" w:hAnsi="Times New Roman"/>
          <w:i/>
          <w:noProof/>
          <w:lang w:eastAsia="hr-HR"/>
        </w:rPr>
        <w:drawing>
          <wp:inline distT="0" distB="0" distL="0" distR="0" wp14:anchorId="03BD2BA2" wp14:editId="0FBE2E83">
            <wp:extent cx="3332480" cy="1960880"/>
            <wp:effectExtent l="0" t="0" r="1270" b="1270"/>
            <wp:docPr id="1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2FB6" w:rsidRDefault="00E12FB6" w:rsidP="00FF7C83">
      <w:pPr>
        <w:keepNext/>
        <w:jc w:val="both"/>
        <w:rPr>
          <w:rFonts w:ascii="Times New Roman" w:hAnsi="Times New Roman"/>
          <w:b/>
        </w:rPr>
      </w:pPr>
    </w:p>
    <w:p w:rsidR="00E12FB6" w:rsidRDefault="00E12FB6" w:rsidP="00FF7C83">
      <w:pPr>
        <w:keepNext/>
        <w:jc w:val="both"/>
        <w:rPr>
          <w:rFonts w:ascii="Times New Roman" w:hAnsi="Times New Roman"/>
          <w:b/>
        </w:rPr>
      </w:pPr>
    </w:p>
    <w:p w:rsidR="0021326B" w:rsidRPr="00FF7C83" w:rsidRDefault="00FF7C83" w:rsidP="00FF7C83">
      <w:pPr>
        <w:keepNext/>
        <w:jc w:val="both"/>
        <w:rPr>
          <w:rFonts w:ascii="Times New Roman" w:eastAsiaTheme="majorEastAsia" w:hAnsi="Times New Roman"/>
          <w:b/>
          <w:bCs/>
        </w:rPr>
      </w:pPr>
      <w:r w:rsidRPr="00FF7C83">
        <w:rPr>
          <w:rFonts w:ascii="Times New Roman" w:hAnsi="Times New Roman"/>
          <w:b/>
        </w:rPr>
        <w:t xml:space="preserve">3. </w:t>
      </w:r>
      <w:r w:rsidRPr="00FF7C83">
        <w:rPr>
          <w:rFonts w:ascii="Times New Roman" w:eastAsiaTheme="majorEastAsia" w:hAnsi="Times New Roman"/>
          <w:b/>
          <w:bCs/>
        </w:rPr>
        <w:t>Izvješće o financijskim pokazateljima realizacije dozvola</w:t>
      </w:r>
    </w:p>
    <w:p w:rsidR="00FF7C83" w:rsidRDefault="00FF7C83" w:rsidP="00FF7C83">
      <w:pPr>
        <w:jc w:val="both"/>
        <w:rPr>
          <w:rFonts w:ascii="Times New Roman" w:hAnsi="Times New Roman"/>
        </w:rPr>
      </w:pPr>
    </w:p>
    <w:p w:rsidR="0021326B" w:rsidRPr="00660BF1" w:rsidRDefault="00FF7C83" w:rsidP="00FF7C83">
      <w:pPr>
        <w:ind w:left="709"/>
        <w:jc w:val="both"/>
        <w:rPr>
          <w:rFonts w:ascii="Times New Roman" w:hAnsi="Times New Roman"/>
          <w:b/>
        </w:rPr>
      </w:pPr>
      <w:r w:rsidRPr="00660BF1">
        <w:rPr>
          <w:rFonts w:ascii="Times New Roman" w:hAnsi="Times New Roman"/>
          <w:b/>
        </w:rPr>
        <w:t>3.1. Financijska re</w:t>
      </w:r>
      <w:r w:rsidR="00254CA1">
        <w:rPr>
          <w:rFonts w:ascii="Times New Roman" w:hAnsi="Times New Roman"/>
          <w:b/>
        </w:rPr>
        <w:t>alizacija dozvola izdanih u 2021</w:t>
      </w:r>
      <w:r w:rsidRPr="00660BF1">
        <w:rPr>
          <w:rFonts w:ascii="Times New Roman" w:hAnsi="Times New Roman"/>
          <w:b/>
        </w:rPr>
        <w:t>. g</w:t>
      </w:r>
      <w:r w:rsidR="001A36FB">
        <w:rPr>
          <w:rFonts w:ascii="Times New Roman" w:hAnsi="Times New Roman"/>
          <w:b/>
        </w:rPr>
        <w:t>odini</w:t>
      </w:r>
    </w:p>
    <w:p w:rsidR="0021326B" w:rsidRDefault="0021326B" w:rsidP="00FF7C83">
      <w:pPr>
        <w:jc w:val="both"/>
        <w:rPr>
          <w:rFonts w:ascii="Times New Roman" w:hAnsi="Times New Roman"/>
        </w:rPr>
      </w:pPr>
    </w:p>
    <w:p w:rsidR="00D30B7E" w:rsidRPr="00D30B7E" w:rsidRDefault="00254CA1" w:rsidP="00D30B7E">
      <w:pPr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 2021</w:t>
      </w:r>
      <w:r w:rsidR="0043153E" w:rsidRPr="00901A6D">
        <w:rPr>
          <w:rFonts w:ascii="Times New Roman" w:eastAsia="Times New Roman" w:hAnsi="Times New Roman"/>
          <w:lang w:eastAsia="hr-HR"/>
        </w:rPr>
        <w:t>. godini izdano je</w:t>
      </w:r>
      <w:r w:rsidR="00D30B7E" w:rsidRPr="00901A6D">
        <w:rPr>
          <w:rFonts w:ascii="Times New Roman" w:eastAsia="Times New Roman" w:hAnsi="Times New Roman"/>
          <w:lang w:eastAsia="hr-HR"/>
        </w:rPr>
        <w:t xml:space="preserve"> ukupno </w:t>
      </w:r>
      <w:r>
        <w:rPr>
          <w:rFonts w:ascii="Times New Roman" w:eastAsia="Times New Roman" w:hAnsi="Times New Roman"/>
          <w:lang w:eastAsia="hr-HR"/>
        </w:rPr>
        <w:t>1137</w:t>
      </w:r>
      <w:r w:rsidR="0043153E" w:rsidRPr="00901A6D">
        <w:rPr>
          <w:rFonts w:ascii="Times New Roman" w:eastAsia="Times New Roman" w:hAnsi="Times New Roman"/>
          <w:lang w:eastAsia="hr-HR"/>
        </w:rPr>
        <w:t xml:space="preserve"> dozvola</w:t>
      </w:r>
      <w:r w:rsidR="00D30B7E" w:rsidRPr="00D30B7E">
        <w:rPr>
          <w:rFonts w:ascii="Times New Roman" w:eastAsia="Times New Roman" w:hAnsi="Times New Roman"/>
          <w:lang w:eastAsia="hr-HR"/>
        </w:rPr>
        <w:t xml:space="preserve">, od kojih </w:t>
      </w:r>
      <w:r w:rsidR="00901A6D">
        <w:rPr>
          <w:rFonts w:ascii="Times New Roman" w:eastAsia="Times New Roman" w:hAnsi="Times New Roman"/>
          <w:lang w:eastAsia="hr-HR"/>
        </w:rPr>
        <w:t>su</w:t>
      </w:r>
      <w:r w:rsidR="00D30B7E" w:rsidRPr="00D30B7E">
        <w:rPr>
          <w:rFonts w:ascii="Times New Roman" w:eastAsia="Times New Roman" w:hAnsi="Times New Roman"/>
          <w:lang w:eastAsia="hr-HR"/>
        </w:rPr>
        <w:t>:</w:t>
      </w:r>
    </w:p>
    <w:p w:rsidR="00D30B7E" w:rsidRPr="00D30B7E" w:rsidRDefault="00D30B7E" w:rsidP="00D30B7E">
      <w:pPr>
        <w:jc w:val="both"/>
        <w:rPr>
          <w:rFonts w:ascii="Times New Roman" w:eastAsia="Times New Roman" w:hAnsi="Times New Roman"/>
          <w:lang w:eastAsia="hr-HR"/>
        </w:rPr>
      </w:pPr>
    </w:p>
    <w:p w:rsidR="00D30B7E" w:rsidRPr="00891219" w:rsidRDefault="00D30B7E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  <w:r w:rsidRPr="00D30B7E">
        <w:rPr>
          <w:rFonts w:ascii="Times New Roman" w:eastAsia="Times New Roman" w:hAnsi="Times New Roman"/>
          <w:lang w:eastAsia="hr-HR"/>
        </w:rPr>
        <w:t>- 2</w:t>
      </w:r>
      <w:r w:rsidR="00254CA1">
        <w:rPr>
          <w:rFonts w:ascii="Times New Roman" w:eastAsia="Times New Roman" w:hAnsi="Times New Roman"/>
          <w:lang w:eastAsia="hr-HR"/>
        </w:rPr>
        <w:t>94</w:t>
      </w:r>
      <w:r w:rsidRPr="00D30B7E">
        <w:rPr>
          <w:rFonts w:ascii="Times New Roman" w:eastAsia="Times New Roman" w:hAnsi="Times New Roman"/>
          <w:lang w:eastAsia="hr-HR"/>
        </w:rPr>
        <w:t xml:space="preserve"> dozvol</w:t>
      </w:r>
      <w:r w:rsidR="00901A6D">
        <w:rPr>
          <w:rFonts w:ascii="Times New Roman" w:eastAsia="Times New Roman" w:hAnsi="Times New Roman"/>
          <w:lang w:eastAsia="hr-HR"/>
        </w:rPr>
        <w:t>e</w:t>
      </w:r>
      <w:r w:rsidRPr="00D30B7E">
        <w:rPr>
          <w:rFonts w:ascii="Times New Roman" w:eastAsia="Times New Roman" w:hAnsi="Times New Roman"/>
          <w:lang w:eastAsia="hr-HR"/>
        </w:rPr>
        <w:t xml:space="preserve"> za izvoz/prijenos robe vojne namjene u odobrenoj vrijednosti od </w:t>
      </w:r>
      <w:r w:rsidR="00254CA1">
        <w:rPr>
          <w:rFonts w:ascii="Times New Roman" w:eastAsia="Times New Roman" w:hAnsi="Times New Roman"/>
          <w:lang w:eastAsia="hr-HR"/>
        </w:rPr>
        <w:t>4.364.045.891,62</w:t>
      </w:r>
      <w:r w:rsidRPr="00D30B7E">
        <w:rPr>
          <w:rFonts w:ascii="Times New Roman" w:eastAsia="Times New Roman" w:hAnsi="Times New Roman"/>
          <w:lang w:eastAsia="hr-HR"/>
        </w:rPr>
        <w:t xml:space="preserve"> HRK (</w:t>
      </w:r>
      <w:r w:rsidR="00254CA1">
        <w:rPr>
          <w:rFonts w:ascii="Times New Roman" w:eastAsia="Times New Roman" w:hAnsi="Times New Roman"/>
          <w:lang w:eastAsia="hr-HR"/>
        </w:rPr>
        <w:t>580.556.856,67</w:t>
      </w:r>
      <w:r w:rsidRPr="00891219">
        <w:rPr>
          <w:rFonts w:ascii="Times New Roman" w:eastAsia="Times New Roman" w:hAnsi="Times New Roman"/>
          <w:bCs/>
          <w:lang w:eastAsia="hr-HR"/>
        </w:rPr>
        <w:t xml:space="preserve"> </w:t>
      </w:r>
      <w:r w:rsidR="00254CA1">
        <w:rPr>
          <w:rFonts w:ascii="Times New Roman" w:eastAsia="Times New Roman" w:hAnsi="Times New Roman"/>
          <w:lang w:eastAsia="hr-HR"/>
        </w:rPr>
        <w:t>EUR) od čega je u 2021</w:t>
      </w:r>
      <w:r w:rsidRPr="00D30B7E">
        <w:rPr>
          <w:rFonts w:ascii="Times New Roman" w:eastAsia="Times New Roman" w:hAnsi="Times New Roman"/>
          <w:lang w:eastAsia="hr-HR"/>
        </w:rPr>
        <w:t xml:space="preserve">. godini realizirano </w:t>
      </w:r>
      <w:r w:rsidR="00254CA1">
        <w:rPr>
          <w:rFonts w:ascii="Times New Roman" w:eastAsia="Times New Roman" w:hAnsi="Times New Roman"/>
          <w:lang w:eastAsia="hr-HR"/>
        </w:rPr>
        <w:t>615.949.440,48</w:t>
      </w:r>
      <w:r w:rsidRPr="00891219">
        <w:rPr>
          <w:rFonts w:ascii="Times New Roman" w:eastAsia="Times New Roman" w:hAnsi="Times New Roman"/>
          <w:bCs/>
          <w:lang w:eastAsia="hr-HR"/>
        </w:rPr>
        <w:t xml:space="preserve"> </w:t>
      </w:r>
      <w:r w:rsidRPr="00D30B7E">
        <w:rPr>
          <w:rFonts w:ascii="Times New Roman" w:eastAsia="Times New Roman" w:hAnsi="Times New Roman"/>
          <w:lang w:eastAsia="hr-HR"/>
        </w:rPr>
        <w:t>HRK (</w:t>
      </w:r>
      <w:r w:rsidR="00830276">
        <w:rPr>
          <w:rFonts w:ascii="Times New Roman" w:eastAsia="Times New Roman" w:hAnsi="Times New Roman"/>
          <w:lang w:eastAsia="hr-HR"/>
        </w:rPr>
        <w:t>81.940.859,45</w:t>
      </w:r>
      <w:r w:rsidRPr="00891219">
        <w:rPr>
          <w:rFonts w:ascii="Times New Roman" w:eastAsia="Times New Roman" w:hAnsi="Times New Roman"/>
          <w:bCs/>
          <w:lang w:eastAsia="hr-HR"/>
        </w:rPr>
        <w:t xml:space="preserve"> </w:t>
      </w:r>
      <w:r w:rsidRPr="00D30B7E">
        <w:rPr>
          <w:rFonts w:ascii="Times New Roman" w:eastAsia="Times New Roman" w:hAnsi="Times New Roman"/>
          <w:lang w:eastAsia="hr-HR"/>
        </w:rPr>
        <w:t xml:space="preserve">EUR) ili </w:t>
      </w:r>
      <w:r w:rsidR="00D10893">
        <w:rPr>
          <w:rFonts w:ascii="Times New Roman" w:eastAsia="Times New Roman" w:hAnsi="Times New Roman"/>
          <w:lang w:eastAsia="hr-HR"/>
        </w:rPr>
        <w:t>14,11</w:t>
      </w:r>
      <w:r w:rsidRPr="00D30B7E">
        <w:rPr>
          <w:rFonts w:ascii="Times New Roman" w:eastAsia="Times New Roman" w:hAnsi="Times New Roman"/>
          <w:lang w:eastAsia="hr-HR"/>
        </w:rPr>
        <w:t>%.</w:t>
      </w:r>
    </w:p>
    <w:p w:rsidR="00D30B7E" w:rsidRPr="00D30B7E" w:rsidRDefault="00D30B7E" w:rsidP="00D30B7E">
      <w:pPr>
        <w:jc w:val="both"/>
        <w:rPr>
          <w:rFonts w:ascii="Times New Roman" w:eastAsia="Times New Roman" w:hAnsi="Times New Roman"/>
          <w:lang w:eastAsia="hr-HR"/>
        </w:rPr>
      </w:pPr>
      <w:r w:rsidRPr="00D30B7E">
        <w:rPr>
          <w:rFonts w:ascii="Times New Roman" w:eastAsia="Times New Roman" w:hAnsi="Times New Roman"/>
          <w:lang w:eastAsia="hr-HR"/>
        </w:rPr>
        <w:lastRenderedPageBreak/>
        <w:tab/>
      </w:r>
    </w:p>
    <w:p w:rsidR="00D30B7E" w:rsidRPr="00891219" w:rsidRDefault="00830276" w:rsidP="00D30B7E">
      <w:pPr>
        <w:ind w:firstLine="708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lang w:eastAsia="hr-HR"/>
        </w:rPr>
        <w:t>- 310</w:t>
      </w:r>
      <w:r w:rsidR="00D30B7E" w:rsidRPr="00D30B7E">
        <w:rPr>
          <w:rFonts w:ascii="Times New Roman" w:eastAsia="Times New Roman" w:hAnsi="Times New Roman"/>
          <w:lang w:eastAsia="hr-HR"/>
        </w:rPr>
        <w:t xml:space="preserve"> dozvol</w:t>
      </w:r>
      <w:r w:rsidR="00F51AD0">
        <w:rPr>
          <w:rFonts w:ascii="Times New Roman" w:eastAsia="Times New Roman" w:hAnsi="Times New Roman"/>
          <w:lang w:eastAsia="hr-HR"/>
        </w:rPr>
        <w:t>a</w:t>
      </w:r>
      <w:r w:rsidR="00D30B7E" w:rsidRPr="00D30B7E">
        <w:rPr>
          <w:rFonts w:ascii="Times New Roman" w:eastAsia="Times New Roman" w:hAnsi="Times New Roman"/>
          <w:lang w:eastAsia="hr-HR"/>
        </w:rPr>
        <w:t xml:space="preserve"> za uvoz/prijenos robe vojne namjene u odobrenoj</w:t>
      </w:r>
      <w:r>
        <w:rPr>
          <w:rFonts w:ascii="Times New Roman" w:eastAsia="Times New Roman" w:hAnsi="Times New Roman"/>
          <w:lang w:eastAsia="hr-HR"/>
        </w:rPr>
        <w:t xml:space="preserve"> vrijednosti od 1.599.510.892,60</w:t>
      </w:r>
      <w:r w:rsidR="00D30B7E" w:rsidRPr="00D30B7E">
        <w:rPr>
          <w:rFonts w:ascii="Times New Roman" w:eastAsia="Times New Roman" w:hAnsi="Times New Roman"/>
          <w:lang w:eastAsia="hr-HR"/>
        </w:rPr>
        <w:t xml:space="preserve"> HRK (</w:t>
      </w:r>
      <w:r>
        <w:rPr>
          <w:rFonts w:ascii="Times New Roman" w:eastAsia="Times New Roman" w:hAnsi="Times New Roman"/>
          <w:lang w:eastAsia="hr-HR"/>
        </w:rPr>
        <w:t>212.785.804,52</w:t>
      </w:r>
      <w:r w:rsidR="00D30B7E" w:rsidRPr="00D30B7E">
        <w:rPr>
          <w:rFonts w:ascii="Times New Roman" w:eastAsia="Times New Roman" w:hAnsi="Times New Roman"/>
          <w:lang w:eastAsia="hr-HR"/>
        </w:rPr>
        <w:t xml:space="preserve"> EUR) od čega je realizirano </w:t>
      </w:r>
      <w:r>
        <w:rPr>
          <w:rFonts w:ascii="Times New Roman" w:eastAsia="Times New Roman" w:hAnsi="Times New Roman"/>
          <w:lang w:eastAsia="hr-HR"/>
        </w:rPr>
        <w:t>60.705.440,18</w:t>
      </w:r>
      <w:r w:rsidR="00D30B7E" w:rsidRPr="00D30B7E">
        <w:rPr>
          <w:rFonts w:ascii="Times New Roman" w:eastAsia="Times New Roman" w:hAnsi="Times New Roman"/>
          <w:lang w:eastAsia="hr-HR"/>
        </w:rPr>
        <w:t xml:space="preserve"> HRK (</w:t>
      </w:r>
      <w:r>
        <w:rPr>
          <w:rFonts w:ascii="Times New Roman" w:eastAsia="Times New Roman" w:hAnsi="Times New Roman"/>
          <w:lang w:eastAsia="hr-HR"/>
        </w:rPr>
        <w:t>8.075.753,65</w:t>
      </w:r>
      <w:r w:rsidR="00D30B7E" w:rsidRPr="00D30B7E">
        <w:rPr>
          <w:rFonts w:ascii="Times New Roman" w:eastAsia="Times New Roman" w:hAnsi="Times New Roman"/>
          <w:lang w:eastAsia="hr-HR"/>
        </w:rPr>
        <w:t xml:space="preserve"> EUR) ili </w:t>
      </w:r>
      <w:r w:rsidR="006D688A">
        <w:rPr>
          <w:rFonts w:ascii="Times New Roman" w:eastAsia="Times New Roman" w:hAnsi="Times New Roman"/>
          <w:lang w:eastAsia="hr-HR"/>
        </w:rPr>
        <w:t>3,80</w:t>
      </w:r>
      <w:r w:rsidR="00D30B7E" w:rsidRPr="00D30B7E">
        <w:rPr>
          <w:rFonts w:ascii="Times New Roman" w:eastAsia="Times New Roman" w:hAnsi="Times New Roman"/>
          <w:lang w:eastAsia="hr-HR"/>
        </w:rPr>
        <w:t xml:space="preserve"> %.</w:t>
      </w:r>
    </w:p>
    <w:p w:rsidR="00D30B7E" w:rsidRPr="00D30B7E" w:rsidRDefault="00D30B7E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D30B7E" w:rsidRPr="00D30B7E" w:rsidRDefault="00D30B7E" w:rsidP="00D30B7E">
      <w:pPr>
        <w:spacing w:line="276" w:lineRule="auto"/>
        <w:ind w:left="708"/>
        <w:jc w:val="both"/>
        <w:rPr>
          <w:rFonts w:ascii="Times New Roman" w:eastAsia="Times New Roman" w:hAnsi="Times New Roman"/>
          <w:lang w:eastAsia="hr-HR"/>
        </w:rPr>
      </w:pPr>
      <w:r w:rsidRPr="00D30B7E">
        <w:rPr>
          <w:rFonts w:ascii="Times New Roman" w:eastAsia="Times New Roman" w:hAnsi="Times New Roman"/>
          <w:lang w:eastAsia="hr-HR"/>
        </w:rPr>
        <w:t xml:space="preserve">- </w:t>
      </w:r>
      <w:r w:rsidR="005B07E1">
        <w:rPr>
          <w:rFonts w:ascii="Times New Roman" w:eastAsia="Times New Roman" w:hAnsi="Times New Roman"/>
          <w:lang w:eastAsia="hr-HR"/>
        </w:rPr>
        <w:t>154</w:t>
      </w:r>
      <w:r w:rsidRPr="00D30B7E">
        <w:rPr>
          <w:rFonts w:ascii="Times New Roman" w:eastAsia="Times New Roman" w:hAnsi="Times New Roman"/>
          <w:lang w:eastAsia="hr-HR"/>
        </w:rPr>
        <w:t xml:space="preserve"> dozvola za izvoz/prijenos nevojnih ubojnih sredstava u odobrenoj vrijednosti od</w:t>
      </w:r>
    </w:p>
    <w:p w:rsidR="00D30B7E" w:rsidRPr="00891219" w:rsidRDefault="005B07E1" w:rsidP="00D30B7E">
      <w:pPr>
        <w:spacing w:line="276" w:lineRule="auto"/>
        <w:jc w:val="both"/>
        <w:rPr>
          <w:rFonts w:ascii="Times New Roman" w:eastAsia="Times New Roman" w:hAnsi="Times New Roman"/>
          <w:bCs/>
          <w:lang w:val="fr-FR" w:eastAsia="hr-HR"/>
        </w:rPr>
      </w:pPr>
      <w:r>
        <w:rPr>
          <w:rFonts w:ascii="Times New Roman" w:eastAsia="Times New Roman" w:hAnsi="Times New Roman"/>
          <w:bCs/>
          <w:lang w:eastAsia="hr-HR"/>
        </w:rPr>
        <w:t>774.669.442,41</w:t>
      </w:r>
      <w:r w:rsidR="00D30B7E" w:rsidRPr="00D30B7E">
        <w:rPr>
          <w:rFonts w:ascii="Times New Roman" w:eastAsia="Times New Roman" w:hAnsi="Times New Roman"/>
          <w:bCs/>
          <w:lang w:eastAsia="hr-HR"/>
        </w:rPr>
        <w:t xml:space="preserve"> </w:t>
      </w:r>
      <w:r w:rsidR="00D30B7E" w:rsidRPr="00D30B7E">
        <w:rPr>
          <w:rFonts w:ascii="Times New Roman" w:eastAsia="Times New Roman" w:hAnsi="Times New Roman"/>
          <w:lang w:eastAsia="hr-HR"/>
        </w:rPr>
        <w:t>HRK (</w:t>
      </w:r>
      <w:r>
        <w:rPr>
          <w:rFonts w:ascii="Times New Roman" w:eastAsia="Times New Roman" w:hAnsi="Times New Roman"/>
          <w:lang w:eastAsia="hr-HR"/>
        </w:rPr>
        <w:t>103.055.666,14</w:t>
      </w:r>
      <w:r w:rsidR="00D30B7E" w:rsidRPr="00D30B7E">
        <w:rPr>
          <w:rFonts w:ascii="Times New Roman" w:eastAsia="Times New Roman" w:hAnsi="Times New Roman"/>
          <w:bCs/>
          <w:lang w:eastAsia="hr-HR"/>
        </w:rPr>
        <w:t xml:space="preserve"> </w:t>
      </w:r>
      <w:r w:rsidR="00D30B7E" w:rsidRPr="00D30B7E">
        <w:rPr>
          <w:rFonts w:ascii="Times New Roman" w:eastAsia="Times New Roman" w:hAnsi="Times New Roman"/>
          <w:lang w:eastAsia="hr-HR"/>
        </w:rPr>
        <w:t xml:space="preserve">EUR) od čega je realizirano </w:t>
      </w:r>
      <w:r>
        <w:rPr>
          <w:rFonts w:ascii="Times New Roman" w:eastAsia="Times New Roman" w:hAnsi="Times New Roman"/>
          <w:lang w:eastAsia="hr-HR"/>
        </w:rPr>
        <w:t>52.129.046,45</w:t>
      </w:r>
      <w:r w:rsidR="00D30B7E" w:rsidRPr="00891219">
        <w:rPr>
          <w:rFonts w:ascii="Times New Roman" w:eastAsia="Times New Roman" w:hAnsi="Times New Roman"/>
          <w:bCs/>
          <w:lang w:val="fr-FR" w:eastAsia="hr-HR"/>
        </w:rPr>
        <w:t xml:space="preserve"> </w:t>
      </w:r>
      <w:r w:rsidR="00D30B7E" w:rsidRPr="00D30B7E">
        <w:rPr>
          <w:rFonts w:ascii="Times New Roman" w:eastAsia="Times New Roman" w:hAnsi="Times New Roman"/>
          <w:lang w:eastAsia="hr-HR"/>
        </w:rPr>
        <w:t>HRK (</w:t>
      </w:r>
      <w:r>
        <w:rPr>
          <w:rFonts w:ascii="Times New Roman" w:eastAsia="Times New Roman" w:hAnsi="Times New Roman"/>
          <w:lang w:eastAsia="hr-HR"/>
        </w:rPr>
        <w:t>6.934.820,60</w:t>
      </w:r>
      <w:r w:rsidR="00D30B7E" w:rsidRPr="00D30B7E">
        <w:rPr>
          <w:rFonts w:ascii="Times New Roman" w:eastAsia="Times New Roman" w:hAnsi="Times New Roman"/>
          <w:lang w:eastAsia="hr-HR"/>
        </w:rPr>
        <w:t xml:space="preserve"> EUR) ili </w:t>
      </w:r>
      <w:r>
        <w:rPr>
          <w:rFonts w:ascii="Times New Roman" w:eastAsia="Times New Roman" w:hAnsi="Times New Roman"/>
          <w:lang w:eastAsia="hr-HR"/>
        </w:rPr>
        <w:t>6,73</w:t>
      </w:r>
      <w:r w:rsidR="00D30B7E" w:rsidRPr="00D30B7E">
        <w:rPr>
          <w:rFonts w:ascii="Times New Roman" w:eastAsia="Times New Roman" w:hAnsi="Times New Roman"/>
          <w:lang w:eastAsia="hr-HR"/>
        </w:rPr>
        <w:t>%.</w:t>
      </w:r>
    </w:p>
    <w:p w:rsidR="00D30B7E" w:rsidRPr="00D30B7E" w:rsidRDefault="00D30B7E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D30B7E" w:rsidRDefault="00D30B7E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D30B7E">
        <w:rPr>
          <w:rFonts w:ascii="Times New Roman" w:eastAsia="Times New Roman" w:hAnsi="Times New Roman"/>
          <w:lang w:eastAsia="hr-HR"/>
        </w:rPr>
        <w:t xml:space="preserve">- </w:t>
      </w:r>
      <w:r w:rsidR="005B07E1">
        <w:rPr>
          <w:rFonts w:ascii="Times New Roman" w:eastAsia="Times New Roman" w:hAnsi="Times New Roman"/>
          <w:lang w:eastAsia="hr-HR"/>
        </w:rPr>
        <w:t>207</w:t>
      </w:r>
      <w:r w:rsidRPr="00D30B7E">
        <w:rPr>
          <w:rFonts w:ascii="Times New Roman" w:eastAsia="Times New Roman" w:hAnsi="Times New Roman"/>
          <w:lang w:eastAsia="hr-HR"/>
        </w:rPr>
        <w:t xml:space="preserve"> dozvola za uvoz/prijenos nevojnih ubojnih sredstava u vrijednosti od </w:t>
      </w:r>
      <w:r w:rsidR="00CC6F9A">
        <w:rPr>
          <w:rFonts w:ascii="Times New Roman" w:eastAsia="Times New Roman" w:hAnsi="Times New Roman"/>
          <w:bCs/>
          <w:lang w:eastAsia="hr-HR"/>
        </w:rPr>
        <w:t>914.063.770,21</w:t>
      </w:r>
      <w:r w:rsidRPr="00891219">
        <w:rPr>
          <w:rFonts w:ascii="Times New Roman" w:eastAsia="Times New Roman" w:hAnsi="Times New Roman"/>
          <w:bCs/>
          <w:lang w:eastAsia="hr-HR"/>
        </w:rPr>
        <w:t xml:space="preserve"> </w:t>
      </w:r>
      <w:r w:rsidRPr="00D30B7E">
        <w:rPr>
          <w:rFonts w:ascii="Times New Roman" w:eastAsia="Times New Roman" w:hAnsi="Times New Roman"/>
          <w:lang w:eastAsia="hr-HR"/>
        </w:rPr>
        <w:t>HRK (</w:t>
      </w:r>
      <w:r w:rsidR="00CC6F9A">
        <w:rPr>
          <w:rFonts w:ascii="Times New Roman" w:eastAsia="Times New Roman" w:hAnsi="Times New Roman"/>
          <w:lang w:eastAsia="hr-HR"/>
        </w:rPr>
        <w:t>121.599.543,73</w:t>
      </w:r>
      <w:r w:rsidRPr="00891219">
        <w:rPr>
          <w:rFonts w:ascii="Times New Roman" w:eastAsia="Times New Roman" w:hAnsi="Times New Roman"/>
          <w:bCs/>
          <w:lang w:eastAsia="hr-HR"/>
        </w:rPr>
        <w:t xml:space="preserve"> </w:t>
      </w:r>
      <w:r w:rsidRPr="00D30B7E">
        <w:rPr>
          <w:rFonts w:ascii="Times New Roman" w:eastAsia="Times New Roman" w:hAnsi="Times New Roman"/>
          <w:lang w:eastAsia="hr-HR"/>
        </w:rPr>
        <w:t xml:space="preserve">EUR) od čega je realizirano </w:t>
      </w:r>
      <w:r w:rsidR="00CC6F9A">
        <w:rPr>
          <w:rFonts w:ascii="Times New Roman" w:eastAsia="Times New Roman" w:hAnsi="Times New Roman"/>
          <w:lang w:eastAsia="hr-HR"/>
        </w:rPr>
        <w:t>55.484.249,36</w:t>
      </w:r>
      <w:r w:rsidRPr="00891219">
        <w:rPr>
          <w:rFonts w:ascii="Times New Roman" w:eastAsia="Times New Roman" w:hAnsi="Times New Roman"/>
          <w:bCs/>
          <w:lang w:eastAsia="hr-HR"/>
        </w:rPr>
        <w:t xml:space="preserve"> </w:t>
      </w:r>
      <w:r w:rsidRPr="00D30B7E">
        <w:rPr>
          <w:rFonts w:ascii="Times New Roman" w:eastAsia="Times New Roman" w:hAnsi="Times New Roman"/>
          <w:lang w:eastAsia="hr-HR"/>
        </w:rPr>
        <w:t>HRK (</w:t>
      </w:r>
      <w:r w:rsidR="00CC6F9A">
        <w:rPr>
          <w:rFonts w:ascii="Times New Roman" w:eastAsia="Times New Roman" w:hAnsi="Times New Roman"/>
          <w:lang w:eastAsia="hr-HR"/>
        </w:rPr>
        <w:t>7.381.169,27</w:t>
      </w:r>
      <w:r w:rsidRPr="00D30B7E">
        <w:rPr>
          <w:rFonts w:ascii="Times New Roman" w:eastAsia="Times New Roman" w:hAnsi="Times New Roman"/>
          <w:lang w:eastAsia="hr-HR"/>
        </w:rPr>
        <w:t xml:space="preserve"> EUR) ili </w:t>
      </w:r>
      <w:r w:rsidR="00CC6F9A">
        <w:rPr>
          <w:rFonts w:ascii="Times New Roman" w:eastAsia="Times New Roman" w:hAnsi="Times New Roman"/>
          <w:lang w:eastAsia="hr-HR"/>
        </w:rPr>
        <w:t>6,07</w:t>
      </w:r>
      <w:r w:rsidRPr="00D30B7E">
        <w:rPr>
          <w:rFonts w:ascii="Times New Roman" w:eastAsia="Times New Roman" w:hAnsi="Times New Roman"/>
          <w:lang w:eastAsia="hr-HR"/>
        </w:rPr>
        <w:t>%.</w:t>
      </w:r>
    </w:p>
    <w:p w:rsidR="00477B7B" w:rsidRPr="00891219" w:rsidRDefault="00477B7B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:rsidR="001D75EC" w:rsidRPr="00891219" w:rsidRDefault="001D75EC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  <w:r w:rsidRPr="00891219">
        <w:rPr>
          <w:rFonts w:ascii="Times New Roman" w:eastAsia="Times New Roman" w:hAnsi="Times New Roman"/>
          <w:bCs/>
          <w:lang w:eastAsia="hr-HR"/>
        </w:rPr>
        <w:t xml:space="preserve">-    </w:t>
      </w:r>
      <w:r w:rsidR="00CC6F9A" w:rsidRPr="00891219">
        <w:rPr>
          <w:rFonts w:ascii="Times New Roman" w:eastAsia="Times New Roman" w:hAnsi="Times New Roman"/>
          <w:bCs/>
          <w:lang w:eastAsia="hr-HR"/>
        </w:rPr>
        <w:t>29</w:t>
      </w:r>
      <w:r w:rsidR="00372D05" w:rsidRPr="00891219">
        <w:rPr>
          <w:rFonts w:ascii="Times New Roman" w:eastAsia="Times New Roman" w:hAnsi="Times New Roman"/>
          <w:bCs/>
          <w:lang w:eastAsia="hr-HR"/>
        </w:rPr>
        <w:t xml:space="preserve"> </w:t>
      </w:r>
      <w:r w:rsidRPr="00891219">
        <w:rPr>
          <w:rFonts w:ascii="Times New Roman" w:eastAsia="Times New Roman" w:hAnsi="Times New Roman"/>
          <w:bCs/>
          <w:lang w:eastAsia="hr-HR"/>
        </w:rPr>
        <w:t>globalnih dozvola</w:t>
      </w:r>
      <w:r w:rsidR="00372D05" w:rsidRPr="00891219">
        <w:rPr>
          <w:rFonts w:ascii="Times New Roman" w:eastAsia="Times New Roman" w:hAnsi="Times New Roman"/>
          <w:bCs/>
          <w:lang w:eastAsia="hr-HR"/>
        </w:rPr>
        <w:t>.</w:t>
      </w:r>
      <w:r w:rsidR="00C6218A" w:rsidRPr="00891219">
        <w:rPr>
          <w:rFonts w:ascii="Times New Roman" w:eastAsia="Times New Roman" w:hAnsi="Times New Roman"/>
          <w:bCs/>
          <w:lang w:eastAsia="hr-HR"/>
        </w:rPr>
        <w:t xml:space="preserve"> </w:t>
      </w:r>
    </w:p>
    <w:p w:rsidR="001D75EC" w:rsidRPr="00891219" w:rsidRDefault="001D75EC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</w:p>
    <w:p w:rsidR="001D75EC" w:rsidRPr="00891219" w:rsidRDefault="001D75EC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  <w:r w:rsidRPr="00891219">
        <w:rPr>
          <w:rFonts w:ascii="Times New Roman" w:eastAsia="Times New Roman" w:hAnsi="Times New Roman"/>
          <w:bCs/>
          <w:lang w:eastAsia="hr-HR"/>
        </w:rPr>
        <w:t xml:space="preserve">-   </w:t>
      </w:r>
      <w:r w:rsidR="00CC6F9A" w:rsidRPr="00891219">
        <w:rPr>
          <w:rFonts w:ascii="Times New Roman" w:eastAsia="Times New Roman" w:hAnsi="Times New Roman"/>
          <w:bCs/>
          <w:lang w:eastAsia="hr-HR"/>
        </w:rPr>
        <w:t>138</w:t>
      </w:r>
      <w:r w:rsidR="00372D05" w:rsidRPr="00891219">
        <w:rPr>
          <w:rFonts w:ascii="Times New Roman" w:eastAsia="Times New Roman" w:hAnsi="Times New Roman"/>
          <w:bCs/>
          <w:lang w:eastAsia="hr-HR"/>
        </w:rPr>
        <w:t xml:space="preserve"> </w:t>
      </w:r>
      <w:r w:rsidRPr="00891219">
        <w:rPr>
          <w:rFonts w:ascii="Times New Roman" w:eastAsia="Times New Roman" w:hAnsi="Times New Roman"/>
          <w:bCs/>
          <w:lang w:eastAsia="hr-HR"/>
        </w:rPr>
        <w:t>dozvola za privremeni izvoz/uvoz/prijenos</w:t>
      </w:r>
      <w:r w:rsidR="00372D05" w:rsidRPr="00891219">
        <w:rPr>
          <w:rFonts w:ascii="Times New Roman" w:eastAsia="Times New Roman" w:hAnsi="Times New Roman"/>
          <w:bCs/>
          <w:lang w:eastAsia="hr-HR"/>
        </w:rPr>
        <w:t>.</w:t>
      </w:r>
    </w:p>
    <w:p w:rsidR="001D75EC" w:rsidRDefault="001D75EC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D30B7E" w:rsidRPr="00891219" w:rsidRDefault="00D30B7E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D30B7E">
        <w:rPr>
          <w:rFonts w:ascii="Times New Roman" w:eastAsia="Times New Roman" w:hAnsi="Times New Roman"/>
          <w:lang w:eastAsia="hr-HR"/>
        </w:rPr>
        <w:t xml:space="preserve">- </w:t>
      </w:r>
      <w:r w:rsidR="001D75EC">
        <w:rPr>
          <w:rFonts w:ascii="Times New Roman" w:eastAsia="Times New Roman" w:hAnsi="Times New Roman"/>
          <w:lang w:eastAsia="hr-HR"/>
        </w:rPr>
        <w:t xml:space="preserve">   </w:t>
      </w:r>
      <w:r w:rsidR="00CC6F9A">
        <w:rPr>
          <w:rFonts w:ascii="Times New Roman" w:eastAsia="Times New Roman" w:hAnsi="Times New Roman"/>
          <w:lang w:eastAsia="hr-HR"/>
        </w:rPr>
        <w:t>5</w:t>
      </w:r>
      <w:r w:rsidRPr="00D30B7E">
        <w:rPr>
          <w:rFonts w:ascii="Times New Roman" w:eastAsia="Times New Roman" w:hAnsi="Times New Roman"/>
          <w:lang w:eastAsia="hr-HR"/>
        </w:rPr>
        <w:t xml:space="preserve"> dozvol</w:t>
      </w:r>
      <w:r w:rsidR="00F51AD0">
        <w:rPr>
          <w:rFonts w:ascii="Times New Roman" w:eastAsia="Times New Roman" w:hAnsi="Times New Roman"/>
          <w:lang w:eastAsia="hr-HR"/>
        </w:rPr>
        <w:t>a</w:t>
      </w:r>
      <w:r w:rsidRPr="00D30B7E">
        <w:rPr>
          <w:rFonts w:ascii="Times New Roman" w:eastAsia="Times New Roman" w:hAnsi="Times New Roman"/>
          <w:lang w:eastAsia="hr-HR"/>
        </w:rPr>
        <w:t xml:space="preserve"> za pružanje usluga za robu vojne namjene</w:t>
      </w:r>
      <w:r w:rsidR="00477B7B">
        <w:rPr>
          <w:rFonts w:ascii="Times New Roman" w:eastAsia="Times New Roman" w:hAnsi="Times New Roman"/>
          <w:lang w:eastAsia="hr-HR"/>
        </w:rPr>
        <w:t>.</w:t>
      </w:r>
      <w:r w:rsidRPr="00D30B7E">
        <w:rPr>
          <w:rFonts w:ascii="Times New Roman" w:eastAsia="Times New Roman" w:hAnsi="Times New Roman"/>
          <w:lang w:eastAsia="hr-HR"/>
        </w:rPr>
        <w:t xml:space="preserve"> </w:t>
      </w:r>
    </w:p>
    <w:p w:rsidR="00D30B7E" w:rsidRPr="00D30B7E" w:rsidRDefault="00D30B7E" w:rsidP="00D30B7E">
      <w:pPr>
        <w:rPr>
          <w:rFonts w:ascii="Calibri" w:eastAsia="Times New Roman" w:hAnsi="Calibri"/>
        </w:rPr>
      </w:pPr>
    </w:p>
    <w:p w:rsidR="0021326B" w:rsidRPr="00660BF1" w:rsidRDefault="0021326B">
      <w:pPr>
        <w:ind w:firstLine="708"/>
        <w:jc w:val="both"/>
        <w:rPr>
          <w:rFonts w:ascii="Times New Roman" w:eastAsia="Times New Roman" w:hAnsi="Times New Roman"/>
          <w:b/>
          <w:lang w:eastAsia="hr-HR"/>
        </w:rPr>
      </w:pPr>
    </w:p>
    <w:p w:rsidR="0021326B" w:rsidRPr="00660BF1" w:rsidRDefault="00660BF1" w:rsidP="00660BF1">
      <w:pPr>
        <w:keepNext/>
        <w:ind w:left="720"/>
        <w:jc w:val="both"/>
        <w:rPr>
          <w:rFonts w:ascii="Times New Roman" w:eastAsiaTheme="majorEastAsia" w:hAnsi="Times New Roman"/>
          <w:b/>
          <w:bCs/>
          <w:iCs/>
        </w:rPr>
      </w:pPr>
      <w:r w:rsidRPr="00660BF1">
        <w:rPr>
          <w:rFonts w:ascii="Times New Roman" w:eastAsiaTheme="majorEastAsia" w:hAnsi="Times New Roman"/>
          <w:b/>
          <w:bCs/>
          <w:iCs/>
        </w:rPr>
        <w:t xml:space="preserve">3.2. Ukupni financijski pokazatelji realizacije </w:t>
      </w:r>
      <w:r w:rsidR="00CC6F9A">
        <w:rPr>
          <w:rFonts w:ascii="Times New Roman" w:eastAsiaTheme="majorEastAsia" w:hAnsi="Times New Roman"/>
          <w:b/>
          <w:bCs/>
          <w:iCs/>
        </w:rPr>
        <w:t>dozvola u 2021</w:t>
      </w:r>
      <w:r w:rsidRPr="00660BF1">
        <w:rPr>
          <w:rFonts w:ascii="Times New Roman" w:eastAsiaTheme="majorEastAsia" w:hAnsi="Times New Roman"/>
          <w:b/>
          <w:bCs/>
          <w:iCs/>
        </w:rPr>
        <w:t>. godini s dodanom</w:t>
      </w:r>
      <w:r w:rsidR="001A36FB">
        <w:rPr>
          <w:rFonts w:ascii="Times New Roman" w:eastAsiaTheme="majorEastAsia" w:hAnsi="Times New Roman"/>
          <w:b/>
          <w:bCs/>
          <w:iCs/>
        </w:rPr>
        <w:t xml:space="preserve">  </w:t>
      </w:r>
      <w:r w:rsidRPr="00660BF1">
        <w:rPr>
          <w:rFonts w:ascii="Times New Roman" w:eastAsiaTheme="majorEastAsia" w:hAnsi="Times New Roman"/>
          <w:b/>
          <w:bCs/>
          <w:iCs/>
        </w:rPr>
        <w:t xml:space="preserve">         realizacij</w:t>
      </w:r>
      <w:r w:rsidR="00CC6F9A">
        <w:rPr>
          <w:rFonts w:ascii="Times New Roman" w:eastAsiaTheme="majorEastAsia" w:hAnsi="Times New Roman"/>
          <w:b/>
          <w:bCs/>
          <w:iCs/>
        </w:rPr>
        <w:t>om dozvola koje su izdane u 2020. godini, a realizirane u 2021</w:t>
      </w:r>
      <w:r w:rsidRPr="00660BF1">
        <w:rPr>
          <w:rFonts w:ascii="Times New Roman" w:eastAsiaTheme="majorEastAsia" w:hAnsi="Times New Roman"/>
          <w:b/>
          <w:bCs/>
          <w:iCs/>
        </w:rPr>
        <w:t>. godini</w:t>
      </w:r>
    </w:p>
    <w:p w:rsidR="0021326B" w:rsidRPr="00660BF1" w:rsidRDefault="0021326B">
      <w:pPr>
        <w:spacing w:line="276" w:lineRule="auto"/>
        <w:rPr>
          <w:rFonts w:ascii="Times New Roman" w:hAnsi="Times New Roman"/>
          <w:b/>
        </w:rPr>
      </w:pPr>
    </w:p>
    <w:p w:rsidR="0021326B" w:rsidRPr="00660BF1" w:rsidRDefault="00660BF1" w:rsidP="00660BF1">
      <w:pPr>
        <w:spacing w:line="276" w:lineRule="auto"/>
        <w:ind w:left="720" w:firstLine="720"/>
        <w:rPr>
          <w:rFonts w:ascii="Times New Roman" w:hAnsi="Times New Roman"/>
          <w:b/>
        </w:rPr>
      </w:pPr>
      <w:r w:rsidRPr="00660BF1">
        <w:rPr>
          <w:rFonts w:ascii="Times New Roman" w:hAnsi="Times New Roman"/>
          <w:b/>
        </w:rPr>
        <w:t xml:space="preserve">3.2.1. </w:t>
      </w:r>
      <w:r w:rsidR="00DB3F69" w:rsidRPr="00660BF1">
        <w:rPr>
          <w:rFonts w:ascii="Times New Roman" w:hAnsi="Times New Roman"/>
          <w:b/>
        </w:rPr>
        <w:t xml:space="preserve"> Izvoz/prijenos robe vojne namjene i nevojnih ubojnih sredstava</w:t>
      </w:r>
    </w:p>
    <w:p w:rsidR="0021326B" w:rsidRDefault="0021326B">
      <w:pPr>
        <w:spacing w:line="276" w:lineRule="auto"/>
        <w:rPr>
          <w:rFonts w:ascii="Times New Roman" w:hAnsi="Times New Roman"/>
        </w:rPr>
      </w:pPr>
    </w:p>
    <w:p w:rsidR="008F70A5" w:rsidRDefault="00DB3F69">
      <w:pPr>
        <w:spacing w:line="276" w:lineRule="auto"/>
        <w:ind w:firstLine="708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>Ukupna realizacija po izdanim dozvolama za izvoz/pr</w:t>
      </w:r>
      <w:r w:rsidR="007A4872">
        <w:rPr>
          <w:rFonts w:ascii="Times New Roman" w:hAnsi="Times New Roman"/>
        </w:rPr>
        <w:t>ijenos robe vojne namjene u 2021</w:t>
      </w:r>
      <w:r>
        <w:rPr>
          <w:rFonts w:ascii="Times New Roman" w:hAnsi="Times New Roman"/>
        </w:rPr>
        <w:t xml:space="preserve">. godini iznosi </w:t>
      </w:r>
      <w:r w:rsidR="00CB2082">
        <w:rPr>
          <w:rFonts w:ascii="Times New Roman" w:hAnsi="Times New Roman"/>
        </w:rPr>
        <w:t>1.068.674.151,98</w:t>
      </w:r>
      <w:r w:rsidR="0023291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iCs/>
        </w:rPr>
        <w:t>HRK (</w:t>
      </w:r>
      <w:r w:rsidR="00CB2082">
        <w:rPr>
          <w:rFonts w:ascii="Times New Roman" w:hAnsi="Times New Roman"/>
          <w:bCs/>
          <w:iCs/>
        </w:rPr>
        <w:t>142.167.640,28</w:t>
      </w:r>
      <w:r w:rsidR="00232919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EUR)</w:t>
      </w:r>
      <w:r w:rsidR="008F70A5">
        <w:rPr>
          <w:rFonts w:ascii="Times New Roman" w:hAnsi="Times New Roman"/>
          <w:bCs/>
          <w:iCs/>
        </w:rPr>
        <w:t>.</w:t>
      </w:r>
    </w:p>
    <w:p w:rsidR="008F70A5" w:rsidRDefault="008F70A5">
      <w:pPr>
        <w:spacing w:line="276" w:lineRule="auto"/>
        <w:ind w:firstLine="708"/>
        <w:jc w:val="both"/>
        <w:rPr>
          <w:rFonts w:ascii="Times New Roman" w:hAnsi="Times New Roman"/>
          <w:bCs/>
          <w:iCs/>
        </w:rPr>
      </w:pPr>
    </w:p>
    <w:p w:rsidR="0021326B" w:rsidRDefault="008F70A5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U iznos od </w:t>
      </w:r>
      <w:r w:rsidR="00A46355">
        <w:rPr>
          <w:rFonts w:ascii="Times New Roman" w:hAnsi="Times New Roman"/>
        </w:rPr>
        <w:t xml:space="preserve"> </w:t>
      </w:r>
      <w:r w:rsidR="00DA2B69">
        <w:rPr>
          <w:rFonts w:ascii="Times New Roman" w:hAnsi="Times New Roman"/>
        </w:rPr>
        <w:t xml:space="preserve">1.068.674.151,98 </w:t>
      </w:r>
      <w:r w:rsidR="00DA2B69">
        <w:rPr>
          <w:rFonts w:ascii="Times New Roman" w:hAnsi="Times New Roman"/>
          <w:bCs/>
          <w:iCs/>
        </w:rPr>
        <w:t xml:space="preserve">HRK (142.167.640,28 EUR) </w:t>
      </w:r>
      <w:r>
        <w:rPr>
          <w:rFonts w:ascii="Times New Roman" w:hAnsi="Times New Roman"/>
          <w:bCs/>
          <w:iCs/>
        </w:rPr>
        <w:t>uključena je r</w:t>
      </w:r>
      <w:r w:rsidR="00DB3F69">
        <w:rPr>
          <w:rFonts w:ascii="Times New Roman" w:hAnsi="Times New Roman"/>
          <w:bCs/>
          <w:iCs/>
        </w:rPr>
        <w:t>ealizacija po</w:t>
      </w:r>
      <w:r w:rsidR="00DA2B69">
        <w:rPr>
          <w:rFonts w:ascii="Times New Roman" w:hAnsi="Times New Roman"/>
        </w:rPr>
        <w:t xml:space="preserve"> izdanim dozvolama u 2020</w:t>
      </w:r>
      <w:r w:rsidR="00DB3F69">
        <w:rPr>
          <w:rFonts w:ascii="Times New Roman" w:hAnsi="Times New Roman"/>
        </w:rPr>
        <w:t>. godini</w:t>
      </w:r>
      <w:r>
        <w:rPr>
          <w:rFonts w:ascii="Times New Roman" w:hAnsi="Times New Roman"/>
        </w:rPr>
        <w:t xml:space="preserve"> u iznosu od </w:t>
      </w:r>
      <w:r w:rsidR="00DA2B69">
        <w:rPr>
          <w:rFonts w:ascii="Times New Roman" w:hAnsi="Times New Roman"/>
        </w:rPr>
        <w:t>452.724.711,50</w:t>
      </w:r>
      <w:r>
        <w:rPr>
          <w:rFonts w:ascii="Times New Roman" w:hAnsi="Times New Roman"/>
        </w:rPr>
        <w:t xml:space="preserve"> HRK (</w:t>
      </w:r>
      <w:r w:rsidR="00DA2B69">
        <w:rPr>
          <w:rFonts w:ascii="Times New Roman" w:hAnsi="Times New Roman"/>
        </w:rPr>
        <w:t>60.226.780,83</w:t>
      </w:r>
      <w:r>
        <w:rPr>
          <w:rFonts w:ascii="Times New Roman" w:hAnsi="Times New Roman"/>
        </w:rPr>
        <w:t xml:space="preserve"> EUR).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F70A5" w:rsidRDefault="00DB3F69" w:rsidP="005978A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Ukupna realizacija po izdanim dozvolama za izvoz/prijenos nevojnih ubojnih sredstava</w:t>
      </w:r>
      <w:r>
        <w:rPr>
          <w:rFonts w:ascii="Times New Roman" w:eastAsia="Times New Roman" w:hAnsi="Times New Roman"/>
          <w:i/>
          <w:lang w:eastAsia="hr-HR"/>
        </w:rPr>
        <w:t xml:space="preserve"> </w:t>
      </w:r>
      <w:r w:rsidR="00DA2B69">
        <w:rPr>
          <w:rFonts w:ascii="Times New Roman" w:eastAsia="Times New Roman" w:hAnsi="Times New Roman"/>
          <w:lang w:eastAsia="hr-HR"/>
        </w:rPr>
        <w:t>u 2021</w:t>
      </w:r>
      <w:r>
        <w:rPr>
          <w:rFonts w:ascii="Times New Roman" w:eastAsia="Times New Roman" w:hAnsi="Times New Roman"/>
          <w:lang w:eastAsia="hr-HR"/>
        </w:rPr>
        <w:t xml:space="preserve">. godini iznosi </w:t>
      </w:r>
      <w:r w:rsidR="00C6413F">
        <w:rPr>
          <w:rFonts w:ascii="Times New Roman" w:eastAsia="Times New Roman" w:hAnsi="Times New Roman"/>
          <w:lang w:eastAsia="hr-HR"/>
        </w:rPr>
        <w:t>67.979.501,87</w:t>
      </w:r>
      <w:r w:rsidR="00232919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HRK (</w:t>
      </w:r>
      <w:r w:rsidR="00C6413F">
        <w:rPr>
          <w:rFonts w:ascii="Times New Roman" w:eastAsia="Times New Roman" w:hAnsi="Times New Roman"/>
          <w:lang w:eastAsia="hr-HR"/>
        </w:rPr>
        <w:t>9.043.435,13</w:t>
      </w:r>
      <w:r w:rsidR="00232919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EUR)</w:t>
      </w:r>
      <w:r w:rsidR="008F70A5">
        <w:rPr>
          <w:rFonts w:ascii="Times New Roman" w:eastAsia="Times New Roman" w:hAnsi="Times New Roman"/>
          <w:lang w:eastAsia="hr-HR"/>
        </w:rPr>
        <w:t>.</w:t>
      </w:r>
    </w:p>
    <w:p w:rsidR="008F70A5" w:rsidRDefault="008F70A5" w:rsidP="005978A9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8F70A5" w:rsidRDefault="008F70A5" w:rsidP="008F70A5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U iznos od </w:t>
      </w:r>
      <w:r w:rsidR="00C6413F">
        <w:rPr>
          <w:rFonts w:ascii="Times New Roman" w:eastAsia="Times New Roman" w:hAnsi="Times New Roman"/>
          <w:lang w:eastAsia="hr-HR"/>
        </w:rPr>
        <w:t xml:space="preserve">67.979.501,87 HRK (9.043.435,13 EUR) </w:t>
      </w:r>
      <w:r>
        <w:rPr>
          <w:rFonts w:ascii="Times New Roman" w:hAnsi="Times New Roman"/>
          <w:bCs/>
          <w:iCs/>
        </w:rPr>
        <w:t>uključena je realizacija po</w:t>
      </w:r>
      <w:r w:rsidR="00C6413F">
        <w:rPr>
          <w:rFonts w:ascii="Times New Roman" w:hAnsi="Times New Roman"/>
        </w:rPr>
        <w:t xml:space="preserve"> izdanim dozvolama u 2020</w:t>
      </w:r>
      <w:r>
        <w:rPr>
          <w:rFonts w:ascii="Times New Roman" w:hAnsi="Times New Roman"/>
        </w:rPr>
        <w:t xml:space="preserve">. godini u iznosu od </w:t>
      </w:r>
      <w:r w:rsidR="00C6413F">
        <w:rPr>
          <w:rFonts w:ascii="Times New Roman" w:hAnsi="Times New Roman"/>
        </w:rPr>
        <w:t>15.850.455,42</w:t>
      </w:r>
      <w:r>
        <w:rPr>
          <w:rFonts w:ascii="Times New Roman" w:hAnsi="Times New Roman"/>
        </w:rPr>
        <w:t xml:space="preserve"> HRK (</w:t>
      </w:r>
      <w:r w:rsidR="00C6413F">
        <w:rPr>
          <w:rFonts w:ascii="Times New Roman" w:hAnsi="Times New Roman"/>
        </w:rPr>
        <w:t>2.108.614,53 EUR</w:t>
      </w:r>
      <w:r>
        <w:rPr>
          <w:rFonts w:ascii="Times New Roman" w:hAnsi="Times New Roman"/>
        </w:rPr>
        <w:t>).</w:t>
      </w:r>
    </w:p>
    <w:p w:rsidR="0021326B" w:rsidRDefault="0021326B" w:rsidP="005978A9">
      <w:pPr>
        <w:spacing w:line="276" w:lineRule="auto"/>
        <w:ind w:firstLine="708"/>
        <w:jc w:val="both"/>
        <w:rPr>
          <w:rFonts w:ascii="Times New Roman" w:hAnsi="Times New Roman"/>
          <w:color w:val="C00000"/>
        </w:rPr>
      </w:pPr>
    </w:p>
    <w:p w:rsidR="0021326B" w:rsidRDefault="00DB3F69" w:rsidP="005978A9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Nai</w:t>
      </w:r>
      <w:r w:rsidR="000C0D7D">
        <w:rPr>
          <w:rFonts w:ascii="Times New Roman" w:hAnsi="Times New Roman"/>
        </w:rPr>
        <w:t>me, u Godišnjem izvješću za 2021</w:t>
      </w:r>
      <w:r>
        <w:rPr>
          <w:rFonts w:ascii="Times New Roman" w:hAnsi="Times New Roman"/>
        </w:rPr>
        <w:t>. godinu specificirane su doz</w:t>
      </w:r>
      <w:r w:rsidR="0043153E">
        <w:rPr>
          <w:rFonts w:ascii="Times New Roman" w:hAnsi="Times New Roman"/>
        </w:rPr>
        <w:t>vole koje su izdane tijekom 2020</w:t>
      </w:r>
      <w:r>
        <w:rPr>
          <w:rFonts w:ascii="Times New Roman" w:hAnsi="Times New Roman"/>
        </w:rPr>
        <w:t>. godine. Isto t</w:t>
      </w:r>
      <w:r w:rsidR="000C0D7D">
        <w:rPr>
          <w:rFonts w:ascii="Times New Roman" w:hAnsi="Times New Roman"/>
        </w:rPr>
        <w:t>ako, dozvole izdane tijekom 2020</w:t>
      </w:r>
      <w:r>
        <w:rPr>
          <w:rFonts w:ascii="Times New Roman" w:hAnsi="Times New Roman"/>
        </w:rPr>
        <w:t>. go</w:t>
      </w:r>
      <w:r w:rsidR="000C0D7D">
        <w:rPr>
          <w:rFonts w:ascii="Times New Roman" w:hAnsi="Times New Roman"/>
        </w:rPr>
        <w:t>dine nisu sve realizirane u 2020</w:t>
      </w:r>
      <w:r>
        <w:rPr>
          <w:rFonts w:ascii="Times New Roman" w:hAnsi="Times New Roman"/>
        </w:rPr>
        <w:t>. godi</w:t>
      </w:r>
      <w:r w:rsidR="000C0D7D">
        <w:rPr>
          <w:rFonts w:ascii="Times New Roman" w:hAnsi="Times New Roman"/>
        </w:rPr>
        <w:t>ni, nego i u 2021</w:t>
      </w:r>
      <w:r>
        <w:rPr>
          <w:rFonts w:ascii="Times New Roman" w:hAnsi="Times New Roman"/>
        </w:rPr>
        <w:t xml:space="preserve">. godini pa slijedom navedenog, svake godine u godišnjem izvješću za prošlu godinu evidentira se i realizacija po dozvolama iz prethodne godine koje nisu realizirane </w:t>
      </w:r>
      <w:r w:rsidR="000C0D7D">
        <w:rPr>
          <w:rFonts w:ascii="Times New Roman" w:hAnsi="Times New Roman"/>
        </w:rPr>
        <w:t>u godini u kojoj su izdane (2020</w:t>
      </w:r>
      <w:r>
        <w:rPr>
          <w:rFonts w:ascii="Times New Roman" w:hAnsi="Times New Roman"/>
        </w:rPr>
        <w:t>. godina).</w:t>
      </w:r>
    </w:p>
    <w:p w:rsidR="0021326B" w:rsidRDefault="0021326B">
      <w:pPr>
        <w:rPr>
          <w:rFonts w:ascii="Times New Roman" w:hAnsi="Times New Roman"/>
        </w:rPr>
      </w:pPr>
    </w:p>
    <w:p w:rsidR="00EC5F2D" w:rsidRDefault="00EC5F2D">
      <w:pPr>
        <w:spacing w:line="276" w:lineRule="auto"/>
        <w:ind w:left="2268" w:hanging="1559"/>
        <w:jc w:val="both"/>
        <w:rPr>
          <w:rFonts w:ascii="Times New Roman" w:hAnsi="Times New Roman"/>
        </w:rPr>
      </w:pPr>
    </w:p>
    <w:p w:rsidR="00A27DC2" w:rsidRDefault="00A27DC2">
      <w:pPr>
        <w:spacing w:line="276" w:lineRule="auto"/>
        <w:ind w:left="2268" w:hanging="1559"/>
        <w:jc w:val="both"/>
        <w:rPr>
          <w:rFonts w:ascii="Times New Roman" w:hAnsi="Times New Roman"/>
        </w:rPr>
      </w:pPr>
    </w:p>
    <w:p w:rsidR="00A27DC2" w:rsidRDefault="00A27DC2">
      <w:pPr>
        <w:spacing w:line="276" w:lineRule="auto"/>
        <w:ind w:left="2268" w:hanging="1559"/>
        <w:jc w:val="both"/>
        <w:rPr>
          <w:rFonts w:ascii="Times New Roman" w:hAnsi="Times New Roman"/>
        </w:rPr>
      </w:pPr>
    </w:p>
    <w:p w:rsidR="00A27DC2" w:rsidRDefault="00A27DC2">
      <w:pPr>
        <w:spacing w:line="276" w:lineRule="auto"/>
        <w:ind w:left="2268" w:hanging="1559"/>
        <w:jc w:val="both"/>
        <w:rPr>
          <w:rFonts w:ascii="Times New Roman" w:hAnsi="Times New Roman"/>
        </w:rPr>
      </w:pPr>
    </w:p>
    <w:p w:rsidR="00A27DC2" w:rsidRDefault="00A27DC2">
      <w:pPr>
        <w:spacing w:line="276" w:lineRule="auto"/>
        <w:ind w:left="2268" w:hanging="1559"/>
        <w:jc w:val="both"/>
        <w:rPr>
          <w:rFonts w:ascii="Times New Roman" w:hAnsi="Times New Roman"/>
        </w:rPr>
      </w:pPr>
    </w:p>
    <w:p w:rsidR="00A27DC2" w:rsidRDefault="00A27DC2">
      <w:pPr>
        <w:spacing w:line="276" w:lineRule="auto"/>
        <w:ind w:left="2268" w:hanging="1559"/>
        <w:jc w:val="both"/>
        <w:rPr>
          <w:rFonts w:ascii="Times New Roman" w:hAnsi="Times New Roman"/>
        </w:rPr>
      </w:pPr>
    </w:p>
    <w:p w:rsidR="00A27DC2" w:rsidRDefault="00A27DC2">
      <w:pPr>
        <w:spacing w:line="276" w:lineRule="auto"/>
        <w:ind w:left="2268" w:hanging="1559"/>
        <w:jc w:val="both"/>
        <w:rPr>
          <w:rFonts w:ascii="Times New Roman" w:hAnsi="Times New Roman"/>
        </w:rPr>
      </w:pPr>
    </w:p>
    <w:p w:rsidR="00A27DC2" w:rsidRDefault="00A27DC2">
      <w:pPr>
        <w:spacing w:line="276" w:lineRule="auto"/>
        <w:ind w:left="2268" w:hanging="1559"/>
        <w:jc w:val="both"/>
        <w:rPr>
          <w:rFonts w:ascii="Times New Roman" w:hAnsi="Times New Roman"/>
        </w:rPr>
      </w:pPr>
    </w:p>
    <w:p w:rsidR="0021326B" w:rsidRDefault="00DB3F69">
      <w:pPr>
        <w:spacing w:line="276" w:lineRule="auto"/>
        <w:ind w:left="2268" w:hanging="15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Tablica br. 3.</w:t>
      </w:r>
      <w:r>
        <w:rPr>
          <w:rFonts w:ascii="Times New Roman" w:hAnsi="Times New Roman"/>
        </w:rPr>
        <w:tab/>
        <w:t>Usporedni prikaz ukupne realizacije izvoza/prijenosa robe vojne namjene i ne</w:t>
      </w:r>
      <w:r w:rsidR="00530478">
        <w:rPr>
          <w:rFonts w:ascii="Times New Roman" w:hAnsi="Times New Roman"/>
        </w:rPr>
        <w:t>vojnih ubojnih sredstava za 2020. i 2021</w:t>
      </w:r>
      <w:r>
        <w:rPr>
          <w:rFonts w:ascii="Times New Roman" w:hAnsi="Times New Roman"/>
        </w:rPr>
        <w:t>. godinu u HRK/EUR</w:t>
      </w:r>
    </w:p>
    <w:p w:rsidR="00047B47" w:rsidRPr="00B977E0" w:rsidRDefault="00047B47">
      <w:pPr>
        <w:spacing w:line="276" w:lineRule="auto"/>
        <w:ind w:left="2268" w:hanging="1559"/>
        <w:jc w:val="both"/>
        <w:rPr>
          <w:rFonts w:ascii="Times New Roman" w:hAnsi="Times New Roman"/>
        </w:rPr>
      </w:pP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9"/>
        <w:gridCol w:w="1701"/>
        <w:gridCol w:w="1832"/>
        <w:gridCol w:w="1843"/>
        <w:gridCol w:w="1701"/>
      </w:tblGrid>
      <w:tr w:rsidR="001C2536" w:rsidRPr="00B977E0" w:rsidTr="007A4872">
        <w:trPr>
          <w:trHeight w:val="200"/>
          <w:jc w:val="center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C2536" w:rsidRPr="00B977E0" w:rsidRDefault="001C2536" w:rsidP="001C2536">
            <w:pPr>
              <w:rPr>
                <w:rFonts w:ascii="Times New Roman" w:eastAsia="Times New Roman" w:hAnsi="Times New Roman"/>
                <w:bCs/>
                <w:color w:val="000000"/>
                <w:lang w:eastAsia="hr-HR"/>
              </w:rPr>
            </w:pPr>
            <w:r w:rsidRPr="00B977E0">
              <w:rPr>
                <w:rFonts w:ascii="Times New Roman" w:eastAsia="Times New Roman" w:hAnsi="Times New Roman"/>
                <w:bCs/>
                <w:color w:val="000000"/>
                <w:lang w:eastAsia="hr-HR"/>
              </w:rPr>
              <w:t>IZVOZ/PRIJENOS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C2536" w:rsidRPr="00B977E0" w:rsidRDefault="001C2536" w:rsidP="001C2536">
            <w:pPr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  <w:r w:rsidRPr="00B977E0">
              <w:rPr>
                <w:rFonts w:ascii="Times New Roman" w:eastAsia="Times New Roman" w:hAnsi="Times New Roman"/>
                <w:bCs/>
                <w:lang w:eastAsia="hr-HR"/>
              </w:rPr>
              <w:t>2020. godina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C2536" w:rsidRPr="00B33C0C" w:rsidRDefault="001C2536" w:rsidP="001C2536">
            <w:pPr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  <w:r w:rsidRPr="00B33C0C">
              <w:rPr>
                <w:rFonts w:ascii="Times New Roman" w:eastAsia="Times New Roman" w:hAnsi="Times New Roman"/>
                <w:bCs/>
                <w:lang w:eastAsia="hr-HR"/>
              </w:rPr>
              <w:t>2021. godina</w:t>
            </w:r>
          </w:p>
        </w:tc>
      </w:tr>
      <w:tr w:rsidR="001C2536" w:rsidRPr="00B977E0" w:rsidTr="007A4872">
        <w:trPr>
          <w:trHeight w:val="207"/>
          <w:jc w:val="center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536" w:rsidRPr="00B977E0" w:rsidRDefault="001C2536" w:rsidP="001C253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536" w:rsidRPr="00B977E0" w:rsidRDefault="001C2536" w:rsidP="001C2536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977E0">
              <w:rPr>
                <w:rFonts w:ascii="Times New Roman" w:eastAsia="Times New Roman" w:hAnsi="Times New Roman"/>
                <w:lang w:eastAsia="hr-HR"/>
              </w:rPr>
              <w:t>HRK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536" w:rsidRPr="00B977E0" w:rsidRDefault="007A4872" w:rsidP="001C2536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536" w:rsidRPr="00B33C0C" w:rsidRDefault="001C2536" w:rsidP="001C2536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33C0C">
              <w:rPr>
                <w:rFonts w:ascii="Times New Roman" w:eastAsia="Times New Roman" w:hAnsi="Times New Roman"/>
                <w:lang w:eastAsia="hr-HR"/>
              </w:rPr>
              <w:t>HRK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536" w:rsidRPr="00B33C0C" w:rsidRDefault="001C2536" w:rsidP="001C2536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B33C0C">
              <w:rPr>
                <w:rFonts w:ascii="Times New Roman" w:eastAsia="Times New Roman" w:hAnsi="Times New Roman"/>
                <w:lang w:eastAsia="hr-HR"/>
              </w:rPr>
              <w:t>EUR</w:t>
            </w:r>
          </w:p>
        </w:tc>
      </w:tr>
      <w:tr w:rsidR="001C2536" w:rsidRPr="00B977E0" w:rsidTr="007A4872">
        <w:trPr>
          <w:trHeight w:val="395"/>
          <w:jc w:val="center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36" w:rsidRPr="00B977E0" w:rsidRDefault="001C2536" w:rsidP="001C253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977E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Roba vojne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B977E0" w:rsidRDefault="001C2536" w:rsidP="007A4872">
            <w:pPr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iCs/>
              </w:rPr>
              <w:t>775.403.185,93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B977E0" w:rsidRDefault="007A4872" w:rsidP="007A4872">
            <w:pPr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>102.702.408.73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B977E0" w:rsidRDefault="007A4872" w:rsidP="007A4872">
            <w:pPr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</w:rPr>
              <w:t>1.068.674.151,98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B977E0" w:rsidRDefault="007A4872" w:rsidP="007A4872">
            <w:pPr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iCs/>
              </w:rPr>
              <w:t>142.167.640,28</w:t>
            </w:r>
          </w:p>
        </w:tc>
      </w:tr>
      <w:tr w:rsidR="001C2536" w:rsidRPr="00B977E0" w:rsidTr="007A4872">
        <w:trPr>
          <w:trHeight w:val="469"/>
          <w:jc w:val="center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36" w:rsidRPr="00B977E0" w:rsidRDefault="001C2536" w:rsidP="001C253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977E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Nevojna ubojna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B977E0" w:rsidRDefault="001C2536" w:rsidP="007A4872">
            <w:pPr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  <w:r w:rsidRPr="00081F1F">
              <w:rPr>
                <w:rFonts w:ascii="Times New Roman" w:eastAsia="Times New Roman" w:hAnsi="Times New Roman"/>
                <w:lang w:eastAsia="hr-HR"/>
              </w:rPr>
              <w:t>59.332.225,47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B977E0" w:rsidRDefault="007A4872" w:rsidP="007A4872">
            <w:pPr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>7.858.572,91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B977E0" w:rsidRDefault="007A4872" w:rsidP="007A4872">
            <w:pPr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67.979.501,87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B977E0" w:rsidRDefault="007A4872" w:rsidP="007A4872">
            <w:pPr>
              <w:jc w:val="center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9.043.435,13</w:t>
            </w:r>
          </w:p>
        </w:tc>
      </w:tr>
      <w:tr w:rsidR="001C2536" w:rsidRPr="00B977E0" w:rsidTr="007A4872">
        <w:trPr>
          <w:trHeight w:val="34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36" w:rsidRPr="00B977E0" w:rsidRDefault="001C2536" w:rsidP="001C253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977E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B977E0" w:rsidRDefault="001C2536" w:rsidP="007A4872">
            <w:pPr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834.735.411,40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B977E0" w:rsidRDefault="007A4872" w:rsidP="007A4872">
            <w:pPr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110.560.981,64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B977E0" w:rsidRDefault="003B1606" w:rsidP="007A4872">
            <w:pPr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1.136.653.653,85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536" w:rsidRPr="00B977E0" w:rsidRDefault="003B1606" w:rsidP="007A4872">
            <w:pPr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151.211.075,41</w:t>
            </w:r>
          </w:p>
        </w:tc>
      </w:tr>
    </w:tbl>
    <w:p w:rsidR="0021326B" w:rsidRDefault="0021326B">
      <w:pPr>
        <w:contextualSpacing/>
        <w:jc w:val="both"/>
        <w:rPr>
          <w:rFonts w:ascii="Times New Roman" w:hAnsi="Times New Roman"/>
        </w:rPr>
      </w:pPr>
    </w:p>
    <w:p w:rsidR="00B977E0" w:rsidRDefault="00B977E0">
      <w:pPr>
        <w:contextualSpacing/>
        <w:jc w:val="both"/>
        <w:rPr>
          <w:rFonts w:ascii="Times New Roman" w:hAnsi="Times New Roman"/>
        </w:rPr>
      </w:pPr>
    </w:p>
    <w:p w:rsidR="0021326B" w:rsidRDefault="00DB3F69" w:rsidP="005978A9">
      <w:p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Pretvaranje valuta u HRK i EUR za realizacije u 20</w:t>
      </w:r>
      <w:r w:rsidR="008C4D5B">
        <w:rPr>
          <w:rFonts w:ascii="Times New Roman" w:hAnsi="Times New Roman"/>
        </w:rPr>
        <w:t>21</w:t>
      </w:r>
      <w:r>
        <w:rPr>
          <w:rFonts w:ascii="Times New Roman" w:hAnsi="Times New Roman"/>
        </w:rPr>
        <w:t>. godini izvršeno je prema srednjem tečaju Hrvatske narodne banke na dan 31.12.20</w:t>
      </w:r>
      <w:r w:rsidR="008C4D5B">
        <w:rPr>
          <w:rFonts w:ascii="Times New Roman" w:hAnsi="Times New Roman"/>
        </w:rPr>
        <w:t>21. godine, a za realizacije u 2020</w:t>
      </w:r>
      <w:r>
        <w:rPr>
          <w:rFonts w:ascii="Times New Roman" w:hAnsi="Times New Roman"/>
        </w:rPr>
        <w:t>. godini prema srednjem tečaju Hrvatsk</w:t>
      </w:r>
      <w:r w:rsidR="008C4D5B">
        <w:rPr>
          <w:rFonts w:ascii="Times New Roman" w:hAnsi="Times New Roman"/>
        </w:rPr>
        <w:t>e</w:t>
      </w:r>
      <w:r w:rsidR="0081703F">
        <w:rPr>
          <w:rFonts w:ascii="Times New Roman" w:hAnsi="Times New Roman"/>
        </w:rPr>
        <w:t xml:space="preserve"> narodne banke na dan 31.12.2021</w:t>
      </w:r>
      <w:r>
        <w:rPr>
          <w:rFonts w:ascii="Times New Roman" w:hAnsi="Times New Roman"/>
        </w:rPr>
        <w:t>. godine.</w:t>
      </w:r>
    </w:p>
    <w:p w:rsidR="0021326B" w:rsidRDefault="0021326B">
      <w:pPr>
        <w:contextualSpacing/>
        <w:jc w:val="center"/>
        <w:rPr>
          <w:rFonts w:ascii="Times New Roman" w:hAnsi="Times New Roman"/>
        </w:rPr>
      </w:pPr>
    </w:p>
    <w:p w:rsidR="00B977E0" w:rsidRDefault="00B977E0">
      <w:pPr>
        <w:contextualSpacing/>
        <w:jc w:val="center"/>
        <w:rPr>
          <w:rFonts w:ascii="Times New Roman" w:hAnsi="Times New Roman"/>
        </w:rPr>
      </w:pPr>
    </w:p>
    <w:p w:rsidR="0021326B" w:rsidRPr="00B977E0" w:rsidRDefault="00DB3F69" w:rsidP="00B977E0">
      <w:pPr>
        <w:spacing w:line="276" w:lineRule="auto"/>
        <w:ind w:firstLine="1418"/>
        <w:jc w:val="both"/>
        <w:rPr>
          <w:rFonts w:ascii="Times New Roman" w:hAnsi="Times New Roman"/>
          <w:b/>
        </w:rPr>
      </w:pPr>
      <w:r w:rsidRPr="00B977E0">
        <w:rPr>
          <w:rFonts w:ascii="Times New Roman" w:hAnsi="Times New Roman"/>
          <w:b/>
        </w:rPr>
        <w:t>3.2.2. Pružene usluge za robu vojne namjene</w:t>
      </w:r>
    </w:p>
    <w:p w:rsidR="0021326B" w:rsidRDefault="0021326B">
      <w:pPr>
        <w:spacing w:line="276" w:lineRule="auto"/>
        <w:jc w:val="both"/>
        <w:rPr>
          <w:rFonts w:ascii="Times New Roman" w:hAnsi="Times New Roman"/>
        </w:rPr>
      </w:pPr>
    </w:p>
    <w:p w:rsidR="007A1FA4" w:rsidRPr="00991846" w:rsidRDefault="00DB3F69" w:rsidP="00D10893">
      <w:pPr>
        <w:spacing w:line="276" w:lineRule="auto"/>
        <w:ind w:firstLine="720"/>
        <w:jc w:val="both"/>
        <w:rPr>
          <w:rFonts w:ascii="Times New Roman" w:hAnsi="Times New Roman"/>
        </w:rPr>
      </w:pPr>
      <w:r w:rsidRPr="00991846">
        <w:rPr>
          <w:rFonts w:ascii="Times New Roman" w:hAnsi="Times New Roman"/>
        </w:rPr>
        <w:t>U 20</w:t>
      </w:r>
      <w:r w:rsidR="00D30B7E" w:rsidRPr="00991846">
        <w:rPr>
          <w:rFonts w:ascii="Times New Roman" w:hAnsi="Times New Roman"/>
        </w:rPr>
        <w:t>2</w:t>
      </w:r>
      <w:r w:rsidR="005A26C2" w:rsidRPr="00991846">
        <w:rPr>
          <w:rFonts w:ascii="Times New Roman" w:hAnsi="Times New Roman"/>
        </w:rPr>
        <w:t>1</w:t>
      </w:r>
      <w:r w:rsidRPr="00991846">
        <w:rPr>
          <w:rFonts w:ascii="Times New Roman" w:hAnsi="Times New Roman"/>
        </w:rPr>
        <w:t xml:space="preserve">. godini </w:t>
      </w:r>
      <w:r w:rsidR="005A26C2" w:rsidRPr="00991846">
        <w:rPr>
          <w:rFonts w:ascii="Times New Roman" w:hAnsi="Times New Roman"/>
        </w:rPr>
        <w:t>bilo je 5</w:t>
      </w:r>
      <w:r w:rsidR="00047B47" w:rsidRPr="00991846">
        <w:rPr>
          <w:rFonts w:ascii="Times New Roman" w:hAnsi="Times New Roman"/>
        </w:rPr>
        <w:t xml:space="preserve"> izdanih dozvola </w:t>
      </w:r>
      <w:r w:rsidRPr="00991846">
        <w:rPr>
          <w:rFonts w:ascii="Times New Roman" w:hAnsi="Times New Roman"/>
        </w:rPr>
        <w:t>za pružanje usluga za robu vojne namjene</w:t>
      </w:r>
      <w:r w:rsidR="00047B47" w:rsidRPr="00991846">
        <w:rPr>
          <w:rFonts w:ascii="Times New Roman" w:hAnsi="Times New Roman"/>
        </w:rPr>
        <w:t>.</w:t>
      </w:r>
    </w:p>
    <w:p w:rsidR="0021326B" w:rsidRPr="00891219" w:rsidRDefault="00D006B1" w:rsidP="00D10893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991846">
        <w:rPr>
          <w:rFonts w:ascii="Times New Roman" w:hAnsi="Times New Roman"/>
        </w:rPr>
        <w:t xml:space="preserve">Ukupna </w:t>
      </w:r>
      <w:r w:rsidR="00DB3F69" w:rsidRPr="00991846">
        <w:rPr>
          <w:rFonts w:ascii="Times New Roman" w:hAnsi="Times New Roman"/>
        </w:rPr>
        <w:t xml:space="preserve">realizacija </w:t>
      </w:r>
      <w:r w:rsidRPr="00991846">
        <w:rPr>
          <w:rFonts w:ascii="Times New Roman" w:hAnsi="Times New Roman"/>
        </w:rPr>
        <w:t>po izdanim dozvolama za pružanje usluga iznosi</w:t>
      </w:r>
      <w:r w:rsidR="005A26C2" w:rsidRPr="00991846">
        <w:rPr>
          <w:rFonts w:ascii="Times New Roman" w:hAnsi="Times New Roman"/>
        </w:rPr>
        <w:t xml:space="preserve"> 10.363.083,59 HRK (1.378.619,61 EUR</w:t>
      </w:r>
      <w:r w:rsidRPr="00991846">
        <w:rPr>
          <w:rFonts w:ascii="Times New Roman" w:hAnsi="Times New Roman"/>
        </w:rPr>
        <w:t>).</w:t>
      </w:r>
    </w:p>
    <w:p w:rsidR="0021326B" w:rsidRPr="00991846" w:rsidRDefault="0021326B">
      <w:pPr>
        <w:ind w:firstLine="708"/>
        <w:jc w:val="both"/>
        <w:rPr>
          <w:rFonts w:ascii="Times New Roman" w:hAnsi="Times New Roman"/>
        </w:rPr>
      </w:pPr>
    </w:p>
    <w:p w:rsidR="00B977E0" w:rsidRDefault="00B977E0">
      <w:pPr>
        <w:ind w:firstLine="708"/>
        <w:jc w:val="both"/>
        <w:rPr>
          <w:rFonts w:ascii="Times New Roman" w:hAnsi="Times New Roman"/>
        </w:rPr>
      </w:pPr>
    </w:p>
    <w:p w:rsidR="00490CAD" w:rsidRPr="00B977E0" w:rsidRDefault="00DB3F69" w:rsidP="00B977E0">
      <w:pPr>
        <w:spacing w:line="276" w:lineRule="auto"/>
        <w:ind w:firstLine="1418"/>
        <w:jc w:val="both"/>
        <w:rPr>
          <w:rFonts w:ascii="Times New Roman" w:hAnsi="Times New Roman"/>
          <w:b/>
        </w:rPr>
      </w:pPr>
      <w:r w:rsidRPr="00B977E0">
        <w:rPr>
          <w:rFonts w:ascii="Times New Roman" w:hAnsi="Times New Roman"/>
          <w:b/>
        </w:rPr>
        <w:t>3.2.3. Uvoz/prijenos robe vojne namjene i nevojnih ubojnih sredstav</w:t>
      </w:r>
      <w:r w:rsidR="00490CAD" w:rsidRPr="00B977E0">
        <w:rPr>
          <w:rFonts w:ascii="Times New Roman" w:hAnsi="Times New Roman"/>
          <w:b/>
        </w:rPr>
        <w:t>a</w:t>
      </w:r>
    </w:p>
    <w:p w:rsidR="00490CAD" w:rsidRDefault="00490CAD" w:rsidP="00201FFF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D840B1" w:rsidRDefault="00D30B7E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iCs/>
        </w:rPr>
      </w:pPr>
      <w:r w:rsidRPr="00D30B7E">
        <w:rPr>
          <w:rFonts w:ascii="Times New Roman" w:eastAsia="Times New Roman" w:hAnsi="Times New Roman"/>
        </w:rPr>
        <w:t xml:space="preserve">Ukupna realizacija po izdanim dozvolama za </w:t>
      </w:r>
      <w:r w:rsidR="007A1FA4">
        <w:rPr>
          <w:rFonts w:ascii="Times New Roman" w:eastAsia="Times New Roman" w:hAnsi="Times New Roman"/>
        </w:rPr>
        <w:t>uvoz</w:t>
      </w:r>
      <w:r w:rsidRPr="007A1FA4">
        <w:rPr>
          <w:rFonts w:ascii="Times New Roman" w:eastAsia="Times New Roman" w:hAnsi="Times New Roman"/>
          <w:b/>
        </w:rPr>
        <w:t>/</w:t>
      </w:r>
      <w:r w:rsidRPr="007A1FA4">
        <w:rPr>
          <w:rFonts w:ascii="Times New Roman" w:eastAsia="Times New Roman" w:hAnsi="Times New Roman"/>
        </w:rPr>
        <w:t>pr</w:t>
      </w:r>
      <w:r w:rsidR="00345A97">
        <w:rPr>
          <w:rFonts w:ascii="Times New Roman" w:eastAsia="Times New Roman" w:hAnsi="Times New Roman"/>
        </w:rPr>
        <w:t>ijenos robe vojne namjene u 2021</w:t>
      </w:r>
      <w:r w:rsidRPr="007A1FA4">
        <w:rPr>
          <w:rFonts w:ascii="Times New Roman" w:eastAsia="Times New Roman" w:hAnsi="Times New Roman"/>
        </w:rPr>
        <w:t>. godini iznosi</w:t>
      </w:r>
      <w:r w:rsidR="00232919">
        <w:rPr>
          <w:rFonts w:ascii="Times New Roman" w:hAnsi="Times New Roman"/>
        </w:rPr>
        <w:t xml:space="preserve"> </w:t>
      </w:r>
      <w:r w:rsidR="00345A97">
        <w:rPr>
          <w:rFonts w:ascii="Times New Roman" w:hAnsi="Times New Roman"/>
        </w:rPr>
        <w:t xml:space="preserve">84.611.900,84 </w:t>
      </w:r>
      <w:r w:rsidRPr="007A1FA4">
        <w:rPr>
          <w:rFonts w:ascii="Times New Roman" w:eastAsia="Times New Roman" w:hAnsi="Times New Roman"/>
          <w:bCs/>
          <w:iCs/>
        </w:rPr>
        <w:t>HRK (</w:t>
      </w:r>
      <w:r w:rsidR="00345A97">
        <w:rPr>
          <w:rFonts w:ascii="Times New Roman" w:eastAsia="Times New Roman" w:hAnsi="Times New Roman"/>
          <w:bCs/>
          <w:iCs/>
        </w:rPr>
        <w:t xml:space="preserve">11.256.073,01 </w:t>
      </w:r>
      <w:r w:rsidRPr="007A1FA4">
        <w:rPr>
          <w:rFonts w:ascii="Times New Roman" w:eastAsia="Times New Roman" w:hAnsi="Times New Roman"/>
          <w:bCs/>
          <w:iCs/>
        </w:rPr>
        <w:t>EUR)</w:t>
      </w:r>
      <w:r w:rsidR="00D840B1">
        <w:rPr>
          <w:rFonts w:ascii="Times New Roman" w:eastAsia="Times New Roman" w:hAnsi="Times New Roman"/>
          <w:bCs/>
          <w:iCs/>
        </w:rPr>
        <w:t>.</w:t>
      </w:r>
    </w:p>
    <w:p w:rsidR="00D840B1" w:rsidRDefault="00D840B1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iCs/>
        </w:rPr>
      </w:pPr>
    </w:p>
    <w:p w:rsidR="00D30B7E" w:rsidRPr="007A1FA4" w:rsidRDefault="00D840B1" w:rsidP="00D30B7E">
      <w:pPr>
        <w:spacing w:line="276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iCs/>
        </w:rPr>
        <w:t xml:space="preserve">U iznos od </w:t>
      </w:r>
      <w:r w:rsidR="00345A97">
        <w:rPr>
          <w:rFonts w:ascii="Times New Roman" w:hAnsi="Times New Roman"/>
        </w:rPr>
        <w:t xml:space="preserve">84.611.900,84 </w:t>
      </w:r>
      <w:r w:rsidR="00345A97" w:rsidRPr="007A1FA4">
        <w:rPr>
          <w:rFonts w:ascii="Times New Roman" w:eastAsia="Times New Roman" w:hAnsi="Times New Roman"/>
          <w:bCs/>
          <w:iCs/>
        </w:rPr>
        <w:t>HRK (</w:t>
      </w:r>
      <w:r w:rsidR="00345A97">
        <w:rPr>
          <w:rFonts w:ascii="Times New Roman" w:eastAsia="Times New Roman" w:hAnsi="Times New Roman"/>
          <w:bCs/>
          <w:iCs/>
        </w:rPr>
        <w:t xml:space="preserve">11.256.073,01 </w:t>
      </w:r>
      <w:r w:rsidR="00345A97" w:rsidRPr="007A1FA4">
        <w:rPr>
          <w:rFonts w:ascii="Times New Roman" w:eastAsia="Times New Roman" w:hAnsi="Times New Roman"/>
          <w:bCs/>
          <w:iCs/>
        </w:rPr>
        <w:t>EUR)</w:t>
      </w:r>
      <w:r w:rsidR="00345A97">
        <w:rPr>
          <w:rFonts w:ascii="Times New Roman" w:eastAsia="Times New Roman" w:hAnsi="Times New Roman"/>
          <w:bCs/>
          <w:iCs/>
        </w:rPr>
        <w:t xml:space="preserve"> </w:t>
      </w:r>
      <w:r w:rsidR="00D30B7E" w:rsidRPr="007A1FA4">
        <w:rPr>
          <w:rFonts w:ascii="Times New Roman" w:eastAsia="Times New Roman" w:hAnsi="Times New Roman"/>
          <w:bCs/>
          <w:iCs/>
        </w:rPr>
        <w:t xml:space="preserve">uključena </w:t>
      </w:r>
      <w:r>
        <w:rPr>
          <w:rFonts w:ascii="Times New Roman" w:eastAsia="Times New Roman" w:hAnsi="Times New Roman"/>
          <w:bCs/>
          <w:iCs/>
        </w:rPr>
        <w:t>je</w:t>
      </w:r>
      <w:r w:rsidR="00D30B7E" w:rsidRPr="007A1FA4">
        <w:rPr>
          <w:rFonts w:ascii="Times New Roman" w:eastAsia="Times New Roman" w:hAnsi="Times New Roman"/>
          <w:bCs/>
          <w:iCs/>
        </w:rPr>
        <w:t xml:space="preserve"> realizacija po</w:t>
      </w:r>
      <w:r w:rsidR="00345A97">
        <w:rPr>
          <w:rFonts w:ascii="Times New Roman" w:eastAsia="Times New Roman" w:hAnsi="Times New Roman"/>
        </w:rPr>
        <w:t xml:space="preserve"> izdanim dozvolama u 2020</w:t>
      </w:r>
      <w:r w:rsidR="00D30B7E" w:rsidRPr="007A1FA4">
        <w:rPr>
          <w:rFonts w:ascii="Times New Roman" w:eastAsia="Times New Roman" w:hAnsi="Times New Roman"/>
        </w:rPr>
        <w:t>. godini</w:t>
      </w:r>
      <w:r>
        <w:rPr>
          <w:rFonts w:ascii="Times New Roman" w:eastAsia="Times New Roman" w:hAnsi="Times New Roman"/>
        </w:rPr>
        <w:t xml:space="preserve"> u iznosu od  </w:t>
      </w:r>
      <w:r w:rsidR="00416B4D">
        <w:rPr>
          <w:rFonts w:ascii="Times New Roman" w:eastAsia="Times New Roman" w:hAnsi="Times New Roman"/>
        </w:rPr>
        <w:t xml:space="preserve">23.906.460,66 </w:t>
      </w:r>
      <w:r>
        <w:rPr>
          <w:rFonts w:ascii="Times New Roman" w:eastAsia="Times New Roman" w:hAnsi="Times New Roman"/>
        </w:rPr>
        <w:t>HRK (</w:t>
      </w:r>
      <w:r w:rsidR="00416B4D">
        <w:rPr>
          <w:rFonts w:ascii="Times New Roman" w:eastAsia="Times New Roman" w:hAnsi="Times New Roman"/>
        </w:rPr>
        <w:t>3.180.319,36</w:t>
      </w:r>
      <w:r>
        <w:rPr>
          <w:rFonts w:ascii="Times New Roman" w:eastAsia="Times New Roman" w:hAnsi="Times New Roman"/>
        </w:rPr>
        <w:t xml:space="preserve"> EUR)</w:t>
      </w:r>
      <w:r w:rsidR="00D30B7E" w:rsidRPr="007A1FA4">
        <w:rPr>
          <w:rFonts w:ascii="Times New Roman" w:eastAsia="Times New Roman" w:hAnsi="Times New Roman"/>
        </w:rPr>
        <w:t>.</w:t>
      </w:r>
    </w:p>
    <w:p w:rsidR="00D30B7E" w:rsidRPr="007A1FA4" w:rsidRDefault="00D30B7E" w:rsidP="00D30B7E">
      <w:pPr>
        <w:spacing w:line="276" w:lineRule="auto"/>
        <w:ind w:firstLine="708"/>
        <w:jc w:val="both"/>
        <w:rPr>
          <w:rFonts w:ascii="Times New Roman" w:eastAsia="Times New Roman" w:hAnsi="Times New Roman"/>
        </w:rPr>
      </w:pPr>
    </w:p>
    <w:p w:rsidR="00D840B1" w:rsidRDefault="00D30B7E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7A1FA4">
        <w:rPr>
          <w:rFonts w:ascii="Times New Roman" w:eastAsia="Times New Roman" w:hAnsi="Times New Roman"/>
          <w:lang w:eastAsia="hr-HR"/>
        </w:rPr>
        <w:t xml:space="preserve">Ukupna realizacija po izdanim dozvolama za </w:t>
      </w:r>
      <w:r w:rsidR="007A1FA4" w:rsidRPr="007A1FA4">
        <w:rPr>
          <w:rFonts w:ascii="Times New Roman" w:eastAsia="Times New Roman" w:hAnsi="Times New Roman"/>
          <w:lang w:eastAsia="hr-HR"/>
        </w:rPr>
        <w:t>uvoz</w:t>
      </w:r>
      <w:r w:rsidRPr="007A1FA4">
        <w:rPr>
          <w:rFonts w:ascii="Times New Roman" w:eastAsia="Times New Roman" w:hAnsi="Times New Roman"/>
          <w:b/>
          <w:lang w:eastAsia="hr-HR"/>
        </w:rPr>
        <w:t>/</w:t>
      </w:r>
      <w:r w:rsidRPr="007A1FA4">
        <w:rPr>
          <w:rFonts w:ascii="Times New Roman" w:eastAsia="Times New Roman" w:hAnsi="Times New Roman"/>
          <w:lang w:eastAsia="hr-HR"/>
        </w:rPr>
        <w:t>prijenos</w:t>
      </w:r>
      <w:r w:rsidRPr="00D30B7E">
        <w:rPr>
          <w:rFonts w:ascii="Times New Roman" w:eastAsia="Times New Roman" w:hAnsi="Times New Roman"/>
          <w:lang w:eastAsia="hr-HR"/>
        </w:rPr>
        <w:t xml:space="preserve"> nevojnih ubojnih sredstava</w:t>
      </w:r>
      <w:r w:rsidRPr="00D30B7E">
        <w:rPr>
          <w:rFonts w:ascii="Times New Roman" w:eastAsia="Times New Roman" w:hAnsi="Times New Roman"/>
          <w:i/>
          <w:lang w:eastAsia="hr-HR"/>
        </w:rPr>
        <w:t xml:space="preserve"> </w:t>
      </w:r>
      <w:r w:rsidR="00DE0437">
        <w:rPr>
          <w:rFonts w:ascii="Times New Roman" w:eastAsia="Times New Roman" w:hAnsi="Times New Roman"/>
          <w:lang w:eastAsia="hr-HR"/>
        </w:rPr>
        <w:t>u 2021</w:t>
      </w:r>
      <w:r w:rsidRPr="00D30B7E">
        <w:rPr>
          <w:rFonts w:ascii="Times New Roman" w:eastAsia="Times New Roman" w:hAnsi="Times New Roman"/>
          <w:lang w:eastAsia="hr-HR"/>
        </w:rPr>
        <w:t xml:space="preserve">. godini iznosi </w:t>
      </w:r>
      <w:r w:rsidR="00DE0437">
        <w:rPr>
          <w:rFonts w:ascii="Times New Roman" w:eastAsia="Times New Roman" w:hAnsi="Times New Roman"/>
          <w:lang w:eastAsia="hr-HR"/>
        </w:rPr>
        <w:t>76.714.326,47</w:t>
      </w:r>
      <w:r w:rsidR="00F625C8">
        <w:rPr>
          <w:rFonts w:ascii="Times New Roman" w:hAnsi="Times New Roman"/>
        </w:rPr>
        <w:t xml:space="preserve"> </w:t>
      </w:r>
      <w:r w:rsidRPr="00D30B7E">
        <w:rPr>
          <w:rFonts w:ascii="Times New Roman" w:eastAsia="Times New Roman" w:hAnsi="Times New Roman"/>
          <w:lang w:eastAsia="hr-HR"/>
        </w:rPr>
        <w:t>HRK (</w:t>
      </w:r>
      <w:r w:rsidR="00DE0437">
        <w:rPr>
          <w:rFonts w:ascii="Times New Roman" w:eastAsia="Times New Roman" w:hAnsi="Times New Roman"/>
          <w:lang w:eastAsia="hr-HR"/>
        </w:rPr>
        <w:t>10.205.444,53</w:t>
      </w:r>
      <w:r w:rsidR="00F625C8">
        <w:rPr>
          <w:rFonts w:ascii="Times New Roman" w:hAnsi="Times New Roman"/>
        </w:rPr>
        <w:t xml:space="preserve"> </w:t>
      </w:r>
      <w:r w:rsidRPr="00D30B7E">
        <w:rPr>
          <w:rFonts w:ascii="Times New Roman" w:eastAsia="Times New Roman" w:hAnsi="Times New Roman"/>
          <w:lang w:eastAsia="hr-HR"/>
        </w:rPr>
        <w:t>EUR)</w:t>
      </w:r>
      <w:r w:rsidR="00D840B1">
        <w:rPr>
          <w:rFonts w:ascii="Times New Roman" w:eastAsia="Times New Roman" w:hAnsi="Times New Roman"/>
          <w:lang w:eastAsia="hr-HR"/>
        </w:rPr>
        <w:t>.</w:t>
      </w:r>
    </w:p>
    <w:p w:rsidR="00D840B1" w:rsidRDefault="00D840B1" w:rsidP="00D30B7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D30B7E" w:rsidRPr="00D30B7E" w:rsidRDefault="00D840B1" w:rsidP="00D30B7E">
      <w:pPr>
        <w:spacing w:line="276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hr-HR"/>
        </w:rPr>
        <w:t xml:space="preserve">U taj je iznos uključena </w:t>
      </w:r>
      <w:r w:rsidR="00D30B7E" w:rsidRPr="00D30B7E">
        <w:rPr>
          <w:rFonts w:ascii="Times New Roman" w:eastAsia="Times New Roman" w:hAnsi="Times New Roman"/>
          <w:lang w:eastAsia="hr-HR"/>
        </w:rPr>
        <w:t>realiza</w:t>
      </w:r>
      <w:r w:rsidR="00DE0437">
        <w:rPr>
          <w:rFonts w:ascii="Times New Roman" w:eastAsia="Times New Roman" w:hAnsi="Times New Roman"/>
          <w:lang w:eastAsia="hr-HR"/>
        </w:rPr>
        <w:t>cija po izdanim dozvolama u 2020</w:t>
      </w:r>
      <w:r w:rsidR="00D30B7E" w:rsidRPr="00D30B7E">
        <w:rPr>
          <w:rFonts w:ascii="Times New Roman" w:eastAsia="Times New Roman" w:hAnsi="Times New Roman"/>
          <w:lang w:eastAsia="hr-HR"/>
        </w:rPr>
        <w:t>. godini</w:t>
      </w:r>
      <w:r>
        <w:rPr>
          <w:rFonts w:ascii="Times New Roman" w:eastAsia="Times New Roman" w:hAnsi="Times New Roman"/>
          <w:lang w:eastAsia="hr-HR"/>
        </w:rPr>
        <w:t xml:space="preserve"> u iznosu od </w:t>
      </w:r>
      <w:r w:rsidR="00DE0437">
        <w:rPr>
          <w:rFonts w:ascii="Times New Roman" w:eastAsia="Times New Roman" w:hAnsi="Times New Roman"/>
          <w:lang w:eastAsia="hr-HR"/>
        </w:rPr>
        <w:t>21.230.077,11</w:t>
      </w:r>
      <w:r w:rsidR="001D75EC">
        <w:rPr>
          <w:rFonts w:ascii="Times New Roman" w:eastAsia="Times New Roman" w:hAnsi="Times New Roman"/>
          <w:lang w:eastAsia="hr-HR"/>
        </w:rPr>
        <w:t xml:space="preserve"> HRK</w:t>
      </w:r>
      <w:r>
        <w:rPr>
          <w:rFonts w:ascii="Times New Roman" w:eastAsia="Times New Roman" w:hAnsi="Times New Roman"/>
          <w:lang w:eastAsia="hr-HR"/>
        </w:rPr>
        <w:t xml:space="preserve"> (</w:t>
      </w:r>
      <w:r w:rsidR="00DE0437">
        <w:rPr>
          <w:rFonts w:ascii="Times New Roman" w:eastAsia="Times New Roman" w:hAnsi="Times New Roman"/>
          <w:lang w:eastAsia="hr-HR"/>
        </w:rPr>
        <w:t>2.824.275,26</w:t>
      </w:r>
      <w:r>
        <w:rPr>
          <w:rFonts w:ascii="Times New Roman" w:eastAsia="Times New Roman" w:hAnsi="Times New Roman"/>
          <w:lang w:eastAsia="hr-HR"/>
        </w:rPr>
        <w:t xml:space="preserve"> EUR)</w:t>
      </w:r>
      <w:r w:rsidR="00D30B7E" w:rsidRPr="00D30B7E">
        <w:rPr>
          <w:rFonts w:ascii="Times New Roman" w:eastAsia="Times New Roman" w:hAnsi="Times New Roman"/>
          <w:lang w:eastAsia="hr-HR"/>
        </w:rPr>
        <w:t>.</w:t>
      </w:r>
      <w:r w:rsidR="00D30B7E" w:rsidRPr="00D30B7E">
        <w:rPr>
          <w:rFonts w:ascii="Times New Roman" w:eastAsia="Times New Roman" w:hAnsi="Times New Roman"/>
        </w:rPr>
        <w:t xml:space="preserve"> </w:t>
      </w:r>
    </w:p>
    <w:p w:rsidR="00D30B7E" w:rsidRDefault="00D30B7E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21326B" w:rsidRDefault="00DB3F69" w:rsidP="007C1446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Naime, u Godišnjem izvješću za 20</w:t>
      </w:r>
      <w:r w:rsidR="00D30B7E">
        <w:rPr>
          <w:rFonts w:ascii="Times New Roman" w:hAnsi="Times New Roman"/>
        </w:rPr>
        <w:t>2</w:t>
      </w:r>
      <w:r w:rsidR="00DE0437">
        <w:rPr>
          <w:rFonts w:ascii="Times New Roman" w:hAnsi="Times New Roman"/>
        </w:rPr>
        <w:t>1</w:t>
      </w:r>
      <w:r>
        <w:rPr>
          <w:rFonts w:ascii="Times New Roman" w:hAnsi="Times New Roman"/>
        </w:rPr>
        <w:t>. godinu specificirane su do</w:t>
      </w:r>
      <w:r w:rsidR="00DE0437">
        <w:rPr>
          <w:rFonts w:ascii="Times New Roman" w:hAnsi="Times New Roman"/>
        </w:rPr>
        <w:t>zvole koje su izdane tijekom 2021</w:t>
      </w:r>
      <w:r>
        <w:rPr>
          <w:rFonts w:ascii="Times New Roman" w:hAnsi="Times New Roman"/>
        </w:rPr>
        <w:t>. godine. Isto tako, dozvole izdane</w:t>
      </w:r>
      <w:r w:rsidR="00DE0437">
        <w:rPr>
          <w:rFonts w:ascii="Times New Roman" w:hAnsi="Times New Roman"/>
        </w:rPr>
        <w:t xml:space="preserve"> tijekom 2020</w:t>
      </w:r>
      <w:r>
        <w:rPr>
          <w:rFonts w:ascii="Times New Roman" w:hAnsi="Times New Roman"/>
        </w:rPr>
        <w:t>. g</w:t>
      </w:r>
      <w:r w:rsidR="00DE0437">
        <w:rPr>
          <w:rFonts w:ascii="Times New Roman" w:hAnsi="Times New Roman"/>
        </w:rPr>
        <w:t>odine nisu sve realizirane u 2020</w:t>
      </w:r>
      <w:r>
        <w:rPr>
          <w:rFonts w:ascii="Times New Roman" w:hAnsi="Times New Roman"/>
        </w:rPr>
        <w:t>. godini nego i u 20</w:t>
      </w:r>
      <w:r w:rsidR="00DE0437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. godini pa slijedom navedenog, svake godine u godišnjem izvješću </w:t>
      </w:r>
      <w:r>
        <w:rPr>
          <w:rFonts w:ascii="Times New Roman" w:hAnsi="Times New Roman"/>
        </w:rPr>
        <w:lastRenderedPageBreak/>
        <w:t>za prošlu godinu evidentira se i realizacija po dozvolama iz prethodne godine koje nisu realizirane u godini u kojoj su</w:t>
      </w:r>
      <w:r w:rsidR="00DE0437">
        <w:rPr>
          <w:rFonts w:ascii="Times New Roman" w:hAnsi="Times New Roman"/>
        </w:rPr>
        <w:t xml:space="preserve"> izdane (2020</w:t>
      </w:r>
      <w:r>
        <w:rPr>
          <w:rFonts w:ascii="Times New Roman" w:hAnsi="Times New Roman"/>
        </w:rPr>
        <w:t>. godina).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A70088" w:rsidRDefault="00A70088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A27DC2" w:rsidRDefault="00A27DC2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D840B1" w:rsidRDefault="00DB3F69">
      <w:pPr>
        <w:spacing w:line="276" w:lineRule="auto"/>
        <w:ind w:left="2268" w:hanging="15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Tablica br. 4. </w:t>
      </w:r>
      <w:r w:rsidR="00D840B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Usporedni prikaz </w:t>
      </w:r>
      <w:r w:rsidR="00D840B1">
        <w:rPr>
          <w:rFonts w:ascii="Times New Roman" w:hAnsi="Times New Roman"/>
        </w:rPr>
        <w:t xml:space="preserve">ukupne </w:t>
      </w:r>
      <w:r>
        <w:rPr>
          <w:rFonts w:ascii="Times New Roman" w:hAnsi="Times New Roman"/>
        </w:rPr>
        <w:t>realizacije uvo</w:t>
      </w:r>
      <w:r w:rsidR="00D840B1">
        <w:rPr>
          <w:rFonts w:ascii="Times New Roman" w:hAnsi="Times New Roman"/>
        </w:rPr>
        <w:t>za/prijenosa robe vojne namjene</w:t>
      </w:r>
    </w:p>
    <w:p w:rsidR="0021326B" w:rsidRDefault="00D840B1">
      <w:pPr>
        <w:spacing w:line="276" w:lineRule="auto"/>
        <w:ind w:left="2268" w:hanging="15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DB3F69">
        <w:rPr>
          <w:rFonts w:ascii="Times New Roman" w:hAnsi="Times New Roman"/>
        </w:rPr>
        <w:t>i n</w:t>
      </w:r>
      <w:r w:rsidR="00011BAA">
        <w:rPr>
          <w:rFonts w:ascii="Times New Roman" w:hAnsi="Times New Roman"/>
        </w:rPr>
        <w:t>evojnih ubojnih sredstava za 2020</w:t>
      </w:r>
      <w:r w:rsidR="00DB3F69">
        <w:rPr>
          <w:rFonts w:ascii="Times New Roman" w:hAnsi="Times New Roman"/>
        </w:rPr>
        <w:t>. i 20</w:t>
      </w:r>
      <w:r w:rsidR="00011BAA">
        <w:rPr>
          <w:rFonts w:ascii="Times New Roman" w:hAnsi="Times New Roman"/>
        </w:rPr>
        <w:t>21</w:t>
      </w:r>
      <w:r w:rsidR="00DB3F69">
        <w:rPr>
          <w:rFonts w:ascii="Times New Roman" w:hAnsi="Times New Roman"/>
        </w:rPr>
        <w:t>. godin</w:t>
      </w:r>
      <w:r w:rsidR="00D30B7E">
        <w:rPr>
          <w:rFonts w:ascii="Times New Roman" w:hAnsi="Times New Roman"/>
        </w:rPr>
        <w:t>u</w:t>
      </w:r>
      <w:r w:rsidR="00DB3F69">
        <w:rPr>
          <w:rFonts w:ascii="Times New Roman" w:hAnsi="Times New Roman"/>
        </w:rPr>
        <w:t xml:space="preserve"> u HRK/EUR</w:t>
      </w:r>
    </w:p>
    <w:p w:rsidR="00047B47" w:rsidRDefault="00047B47">
      <w:pPr>
        <w:spacing w:line="276" w:lineRule="auto"/>
        <w:ind w:left="2268" w:hanging="1559"/>
        <w:jc w:val="both"/>
        <w:rPr>
          <w:rFonts w:ascii="Times New Roman" w:hAnsi="Times New Roman"/>
        </w:rPr>
      </w:pPr>
    </w:p>
    <w:tbl>
      <w:tblPr>
        <w:tblW w:w="9360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8"/>
        <w:gridCol w:w="1823"/>
        <w:gridCol w:w="1693"/>
        <w:gridCol w:w="1620"/>
        <w:gridCol w:w="1766"/>
      </w:tblGrid>
      <w:tr w:rsidR="00D30B7E" w:rsidTr="00D30B7E">
        <w:trPr>
          <w:trHeight w:val="300"/>
        </w:trPr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</w:tcPr>
          <w:p w:rsidR="00D30B7E" w:rsidRPr="00991846" w:rsidRDefault="00D30B7E" w:rsidP="00AC768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 w:rsidRPr="00991846">
              <w:rPr>
                <w:rFonts w:ascii="Times New Roman" w:eastAsia="Times New Roman" w:hAnsi="Times New Roman"/>
                <w:bCs/>
                <w:lang w:val="en-US"/>
              </w:rPr>
              <w:t>UVOZ/PRIJENOS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</w:tcPr>
          <w:p w:rsidR="00D30B7E" w:rsidRPr="00991846" w:rsidRDefault="00011BAA" w:rsidP="00AC7681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991846">
              <w:rPr>
                <w:rFonts w:ascii="Times New Roman" w:eastAsia="Times New Roman" w:hAnsi="Times New Roman"/>
                <w:bCs/>
                <w:lang w:val="en-US"/>
              </w:rPr>
              <w:t>2020.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DFEC"/>
            <w:vAlign w:val="center"/>
          </w:tcPr>
          <w:p w:rsidR="00D30B7E" w:rsidRPr="00991846" w:rsidRDefault="00011BAA" w:rsidP="00AC7681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991846">
              <w:rPr>
                <w:rFonts w:ascii="Times New Roman" w:eastAsia="Times New Roman" w:hAnsi="Times New Roman"/>
                <w:bCs/>
                <w:lang w:val="en-US"/>
              </w:rPr>
              <w:t>2021.</w:t>
            </w:r>
          </w:p>
        </w:tc>
      </w:tr>
      <w:tr w:rsidR="00011BAA" w:rsidTr="00D30B7E">
        <w:trPr>
          <w:trHeight w:val="300"/>
        </w:trPr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AA" w:rsidRPr="00991846" w:rsidRDefault="00011BAA" w:rsidP="00011BAA">
            <w:pPr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011BAA" w:rsidP="00011BA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91846">
              <w:rPr>
                <w:rFonts w:ascii="Times New Roman" w:eastAsia="Times New Roman" w:hAnsi="Times New Roman"/>
                <w:lang w:val="en-US"/>
              </w:rPr>
              <w:t>HRK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3B1606" w:rsidP="00011BA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91846">
              <w:rPr>
                <w:rFonts w:ascii="Times New Roman" w:eastAsia="Times New Roman" w:hAnsi="Times New Roman"/>
                <w:lang w:val="en-US"/>
              </w:rPr>
              <w:t>EUR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011BAA" w:rsidP="00011BA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91846">
              <w:rPr>
                <w:rFonts w:ascii="Times New Roman" w:eastAsia="Times New Roman" w:hAnsi="Times New Roman"/>
                <w:lang w:val="en-US"/>
              </w:rPr>
              <w:t>HRK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3B1606" w:rsidP="00011BA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91846">
              <w:rPr>
                <w:rFonts w:ascii="Times New Roman" w:eastAsia="Times New Roman" w:hAnsi="Times New Roman"/>
                <w:lang w:val="en-US"/>
              </w:rPr>
              <w:t>EUR</w:t>
            </w:r>
          </w:p>
        </w:tc>
      </w:tr>
      <w:tr w:rsidR="00011BAA" w:rsidTr="00D30B7E">
        <w:trPr>
          <w:trHeight w:val="30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A27DC2" w:rsidRDefault="00011BAA" w:rsidP="00011BAA">
            <w:pPr>
              <w:rPr>
                <w:rFonts w:ascii="Times New Roman" w:eastAsia="Times New Roman" w:hAnsi="Times New Roman"/>
                <w:bCs/>
              </w:rPr>
            </w:pPr>
            <w:r w:rsidRPr="00A27DC2">
              <w:rPr>
                <w:rFonts w:ascii="Times New Roman" w:eastAsia="Times New Roman" w:hAnsi="Times New Roman"/>
                <w:bCs/>
              </w:rPr>
              <w:t>Roba vojne namjene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7B4979" w:rsidP="00011BA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B4979">
              <w:rPr>
                <w:rFonts w:ascii="Times New Roman" w:eastAsia="Times New Roman" w:hAnsi="Times New Roman"/>
                <w:lang w:val="en-US"/>
              </w:rPr>
              <w:t>57.102.181,08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510779" w:rsidP="00011BA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510779">
              <w:rPr>
                <w:rFonts w:ascii="Times New Roman" w:eastAsia="Times New Roman" w:hAnsi="Times New Roman"/>
                <w:lang w:val="en-US"/>
              </w:rPr>
              <w:t>7.563.202,79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3B1606" w:rsidP="00011BA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91846">
              <w:rPr>
                <w:rFonts w:ascii="Times New Roman" w:hAnsi="Times New Roman"/>
              </w:rPr>
              <w:t>84.611.900,84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3B1606" w:rsidP="00011BA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91846">
              <w:rPr>
                <w:rFonts w:ascii="Times New Roman" w:eastAsia="Times New Roman" w:hAnsi="Times New Roman"/>
                <w:bCs/>
                <w:iCs/>
              </w:rPr>
              <w:t>11.256.073,01</w:t>
            </w:r>
          </w:p>
        </w:tc>
      </w:tr>
      <w:tr w:rsidR="00011BAA" w:rsidTr="00D30B7E">
        <w:trPr>
          <w:trHeight w:val="30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A27DC2" w:rsidRDefault="00011BAA" w:rsidP="00011BAA">
            <w:pPr>
              <w:rPr>
                <w:rFonts w:ascii="Times New Roman" w:eastAsia="Times New Roman" w:hAnsi="Times New Roman"/>
                <w:bCs/>
              </w:rPr>
            </w:pPr>
            <w:r w:rsidRPr="00A27DC2">
              <w:rPr>
                <w:rFonts w:ascii="Times New Roman" w:eastAsia="Times New Roman" w:hAnsi="Times New Roman"/>
                <w:bCs/>
              </w:rPr>
              <w:t>Nevojna ubojna sredstva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7B4979" w:rsidP="00011BA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B4979">
              <w:rPr>
                <w:rFonts w:ascii="Times New Roman" w:eastAsia="Times New Roman" w:hAnsi="Times New Roman"/>
                <w:lang w:val="en-US"/>
              </w:rPr>
              <w:t>71.492.694,03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510779" w:rsidP="00011BA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510779">
              <w:rPr>
                <w:rFonts w:ascii="Times New Roman" w:eastAsia="Times New Roman" w:hAnsi="Times New Roman"/>
                <w:lang w:val="en-US"/>
              </w:rPr>
              <w:t>9.469.231,00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3B1606" w:rsidP="00011BA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91846">
              <w:rPr>
                <w:rFonts w:ascii="Times New Roman" w:eastAsia="Times New Roman" w:hAnsi="Times New Roman"/>
                <w:lang w:eastAsia="hr-HR"/>
              </w:rPr>
              <w:t>76.714.326,47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3B1606" w:rsidP="00011BA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91846">
              <w:rPr>
                <w:rFonts w:ascii="Times New Roman" w:eastAsia="Times New Roman" w:hAnsi="Times New Roman"/>
                <w:lang w:eastAsia="hr-HR"/>
              </w:rPr>
              <w:t>10.205.444,53</w:t>
            </w:r>
          </w:p>
        </w:tc>
      </w:tr>
      <w:tr w:rsidR="00011BAA" w:rsidTr="00D30B7E">
        <w:trPr>
          <w:trHeight w:val="30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011BAA" w:rsidP="00011BAA">
            <w:pPr>
              <w:jc w:val="both"/>
              <w:rPr>
                <w:rFonts w:ascii="Times New Roman" w:eastAsia="Times New Roman" w:hAnsi="Times New Roman"/>
                <w:bCs/>
                <w:lang w:val="en-US"/>
              </w:rPr>
            </w:pPr>
            <w:r w:rsidRPr="00991846">
              <w:rPr>
                <w:rFonts w:ascii="Times New Roman" w:eastAsia="Times New Roman" w:hAnsi="Times New Roman"/>
                <w:bCs/>
                <w:lang w:val="en-US"/>
              </w:rPr>
              <w:t>UKUPNO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7B4979" w:rsidP="00011BAA">
            <w:pPr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7B4979">
              <w:rPr>
                <w:rFonts w:ascii="Times New Roman" w:eastAsia="Times New Roman" w:hAnsi="Times New Roman"/>
                <w:b/>
                <w:bCs/>
                <w:lang w:val="en-US"/>
              </w:rPr>
              <w:t>128.594.875,11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510779" w:rsidP="00011BAA">
            <w:pPr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510779">
              <w:rPr>
                <w:rFonts w:ascii="Times New Roman" w:eastAsia="Times New Roman" w:hAnsi="Times New Roman"/>
                <w:b/>
                <w:bCs/>
                <w:lang w:val="en-US"/>
              </w:rPr>
              <w:t>17.032.433,79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B33C0C" w:rsidP="00011BAA">
            <w:pPr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991846">
              <w:rPr>
                <w:rFonts w:ascii="Times New Roman" w:eastAsia="Times New Roman" w:hAnsi="Times New Roman"/>
                <w:b/>
                <w:bCs/>
                <w:lang w:val="en-US"/>
              </w:rPr>
              <w:t>161.326.227,31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A" w:rsidRPr="00991846" w:rsidRDefault="00B33C0C" w:rsidP="00011BAA">
            <w:pPr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991846">
              <w:rPr>
                <w:rFonts w:ascii="Times New Roman" w:eastAsia="Times New Roman" w:hAnsi="Times New Roman"/>
                <w:b/>
                <w:bCs/>
                <w:lang w:val="en-US"/>
              </w:rPr>
              <w:t>21.461.517,54</w:t>
            </w:r>
          </w:p>
        </w:tc>
      </w:tr>
    </w:tbl>
    <w:p w:rsidR="0021326B" w:rsidRDefault="0021326B">
      <w:pPr>
        <w:contextualSpacing/>
        <w:jc w:val="both"/>
        <w:rPr>
          <w:rFonts w:ascii="Times New Roman" w:hAnsi="Times New Roman"/>
        </w:rPr>
      </w:pPr>
    </w:p>
    <w:p w:rsidR="0021326B" w:rsidRDefault="00DB3F69" w:rsidP="007C144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Pretvaranje valuta u HRK i EUR za realizacije u 20</w:t>
      </w:r>
      <w:r w:rsidR="005F7FDC">
        <w:rPr>
          <w:rFonts w:ascii="Times New Roman" w:hAnsi="Times New Roman"/>
        </w:rPr>
        <w:t>21</w:t>
      </w:r>
      <w:r>
        <w:rPr>
          <w:rFonts w:ascii="Times New Roman" w:hAnsi="Times New Roman"/>
        </w:rPr>
        <w:t>. godini izvršeno je prema srednjem tečaju Hrvatske narodne banke na dan 31.12.20</w:t>
      </w:r>
      <w:r w:rsidR="005F7FDC">
        <w:rPr>
          <w:rFonts w:ascii="Times New Roman" w:hAnsi="Times New Roman"/>
        </w:rPr>
        <w:t>21</w:t>
      </w:r>
      <w:r w:rsidR="00AF03B3">
        <w:rPr>
          <w:rFonts w:ascii="Times New Roman" w:hAnsi="Times New Roman"/>
        </w:rPr>
        <w:t>. godine, a za realizacije u 2020</w:t>
      </w:r>
      <w:r>
        <w:rPr>
          <w:rFonts w:ascii="Times New Roman" w:hAnsi="Times New Roman"/>
        </w:rPr>
        <w:t>. godini prema srednjem tečaju Hrvatsk</w:t>
      </w:r>
      <w:r w:rsidR="005F7FDC">
        <w:rPr>
          <w:rFonts w:ascii="Times New Roman" w:hAnsi="Times New Roman"/>
        </w:rPr>
        <w:t>e</w:t>
      </w:r>
      <w:r w:rsidR="0081703F">
        <w:rPr>
          <w:rFonts w:ascii="Times New Roman" w:hAnsi="Times New Roman"/>
        </w:rPr>
        <w:t xml:space="preserve"> narodne banke na dan 31.12.2021</w:t>
      </w:r>
      <w:r>
        <w:rPr>
          <w:rFonts w:ascii="Times New Roman" w:hAnsi="Times New Roman"/>
        </w:rPr>
        <w:t>. godine.</w:t>
      </w:r>
    </w:p>
    <w:p w:rsidR="0021326B" w:rsidRDefault="0021326B" w:rsidP="007C1446">
      <w:pPr>
        <w:spacing w:line="276" w:lineRule="auto"/>
        <w:jc w:val="center"/>
        <w:rPr>
          <w:rFonts w:ascii="Times New Roman" w:hAnsi="Times New Roman"/>
          <w:b/>
          <w:bCs/>
        </w:rPr>
      </w:pPr>
    </w:p>
    <w:p w:rsidR="00C576AA" w:rsidRDefault="00C576AA">
      <w:pPr>
        <w:jc w:val="center"/>
        <w:rPr>
          <w:rFonts w:ascii="Times New Roman" w:hAnsi="Times New Roman"/>
          <w:b/>
          <w:bCs/>
        </w:rPr>
      </w:pPr>
    </w:p>
    <w:p w:rsidR="0021326B" w:rsidRDefault="00DB3F6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Graf br. 2 - Ukupan izvoz/prijenos i uvoz/prijenos</w:t>
      </w:r>
    </w:p>
    <w:p w:rsidR="0021326B" w:rsidRDefault="00DB3F6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 vojne namjene i nevojnih ubojnih sredstava</w:t>
      </w:r>
    </w:p>
    <w:p w:rsidR="0021326B" w:rsidRDefault="00011BA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 2020</w:t>
      </w:r>
      <w:r w:rsidR="00DB3F69">
        <w:rPr>
          <w:rFonts w:ascii="Times New Roman" w:hAnsi="Times New Roman"/>
          <w:b/>
          <w:bCs/>
        </w:rPr>
        <w:t>. i 20</w:t>
      </w:r>
      <w:r w:rsidR="005F7FDC">
        <w:rPr>
          <w:rFonts w:ascii="Times New Roman" w:hAnsi="Times New Roman"/>
          <w:b/>
          <w:bCs/>
        </w:rPr>
        <w:t>21</w:t>
      </w:r>
      <w:r w:rsidR="00DB3F69">
        <w:rPr>
          <w:rFonts w:ascii="Times New Roman" w:hAnsi="Times New Roman"/>
          <w:b/>
          <w:bCs/>
        </w:rPr>
        <w:t>. godini (u milijunima kuna)</w:t>
      </w:r>
    </w:p>
    <w:p w:rsidR="0021326B" w:rsidRDefault="00201FFF">
      <w:pPr>
        <w:keepNext/>
        <w:spacing w:before="240" w:after="60"/>
        <w:jc w:val="center"/>
        <w:rPr>
          <w:rFonts w:ascii="Times New Roman" w:eastAsiaTheme="majorEastAsia" w:hAnsi="Times New Roman"/>
          <w:b/>
          <w:bCs/>
        </w:rPr>
      </w:pPr>
      <w:r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2B05444" wp14:editId="0BC04D7F">
            <wp:simplePos x="0" y="0"/>
            <wp:positionH relativeFrom="column">
              <wp:posOffset>431800</wp:posOffset>
            </wp:positionH>
            <wp:positionV relativeFrom="paragraph">
              <wp:posOffset>213360</wp:posOffset>
            </wp:positionV>
            <wp:extent cx="4800600" cy="2660650"/>
            <wp:effectExtent l="0" t="0" r="0" b="6350"/>
            <wp:wrapSquare wrapText="bothSides"/>
            <wp:docPr id="11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B977E0" w:rsidRDefault="00484CDB" w:rsidP="00553A18">
      <w:pPr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hAnsi="Times New Roman"/>
        </w:rPr>
        <w:br w:type="textWrapping" w:clear="all"/>
      </w:r>
    </w:p>
    <w:p w:rsidR="00B977E0" w:rsidRDefault="00B977E0" w:rsidP="00553A18">
      <w:pPr>
        <w:rPr>
          <w:rFonts w:ascii="Times New Roman" w:eastAsia="Times New Roman" w:hAnsi="Times New Roman"/>
          <w:bCs/>
          <w:lang w:eastAsia="hr-HR"/>
        </w:rPr>
      </w:pPr>
    </w:p>
    <w:p w:rsidR="00553A18" w:rsidRDefault="00553A18" w:rsidP="00553A18">
      <w:pPr>
        <w:rPr>
          <w:rFonts w:ascii="Times New Roman" w:eastAsia="Times New Roman" w:hAnsi="Times New Roman"/>
          <w:bCs/>
          <w:lang w:eastAsia="hr-HR"/>
        </w:rPr>
      </w:pPr>
    </w:p>
    <w:p w:rsidR="00553A18" w:rsidRDefault="00553A18" w:rsidP="00553A18">
      <w:pPr>
        <w:rPr>
          <w:rFonts w:ascii="Times New Roman" w:eastAsia="Times New Roman" w:hAnsi="Times New Roman"/>
          <w:bCs/>
          <w:lang w:eastAsia="hr-HR"/>
        </w:rPr>
      </w:pPr>
    </w:p>
    <w:p w:rsidR="00A70088" w:rsidRPr="00B977E0" w:rsidRDefault="00B977E0" w:rsidP="00553A18">
      <w:pPr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4. </w:t>
      </w:r>
      <w:r w:rsidRPr="00B977E0">
        <w:rPr>
          <w:rFonts w:ascii="Times New Roman" w:eastAsia="Times New Roman" w:hAnsi="Times New Roman"/>
          <w:b/>
          <w:bCs/>
          <w:lang w:eastAsia="hr-HR"/>
        </w:rPr>
        <w:t>Zaključak</w:t>
      </w:r>
    </w:p>
    <w:p w:rsidR="00B977E0" w:rsidRPr="00B977E0" w:rsidRDefault="00B977E0" w:rsidP="00553A18">
      <w:pPr>
        <w:rPr>
          <w:rFonts w:ascii="Times New Roman" w:eastAsia="Times New Roman" w:hAnsi="Times New Roman"/>
          <w:bCs/>
          <w:lang w:eastAsia="hr-HR"/>
        </w:rPr>
      </w:pPr>
    </w:p>
    <w:p w:rsidR="0021326B" w:rsidRPr="00B977E0" w:rsidRDefault="00DB3F69" w:rsidP="00553A18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B977E0">
        <w:rPr>
          <w:rFonts w:ascii="Times New Roman" w:eastAsia="Times New Roman" w:hAnsi="Times New Roman"/>
          <w:lang w:eastAsia="hr-HR"/>
        </w:rPr>
        <w:t>U skladu s obvezom iz članka 25. stavka 2. Zakona o nadzoru prometa robe vojne namjene i nevojnih ubojnih sredstava (Narodne novine</w:t>
      </w:r>
      <w:r w:rsidR="00CA444E" w:rsidRPr="00B977E0">
        <w:rPr>
          <w:rFonts w:ascii="Times New Roman" w:eastAsia="Times New Roman" w:hAnsi="Times New Roman"/>
          <w:lang w:eastAsia="hr-HR"/>
        </w:rPr>
        <w:t xml:space="preserve">, </w:t>
      </w:r>
      <w:r w:rsidRPr="00B977E0">
        <w:rPr>
          <w:rFonts w:ascii="Times New Roman" w:eastAsia="Times New Roman" w:hAnsi="Times New Roman"/>
          <w:lang w:eastAsia="hr-HR"/>
        </w:rPr>
        <w:t>br</w:t>
      </w:r>
      <w:r w:rsidR="00476708">
        <w:rPr>
          <w:rFonts w:ascii="Times New Roman" w:eastAsia="Times New Roman" w:hAnsi="Times New Roman"/>
          <w:lang w:eastAsia="hr-HR"/>
        </w:rPr>
        <w:t>.</w:t>
      </w:r>
      <w:r w:rsidRPr="00B977E0">
        <w:rPr>
          <w:rFonts w:ascii="Times New Roman" w:eastAsia="Times New Roman" w:hAnsi="Times New Roman"/>
          <w:lang w:eastAsia="hr-HR"/>
        </w:rPr>
        <w:t xml:space="preserve"> 80/13), Ministarstvo gospodarstva</w:t>
      </w:r>
      <w:r w:rsidR="00D30B7E" w:rsidRPr="00B977E0">
        <w:rPr>
          <w:rFonts w:ascii="Times New Roman" w:eastAsia="Times New Roman" w:hAnsi="Times New Roman"/>
          <w:lang w:eastAsia="hr-HR"/>
        </w:rPr>
        <w:t xml:space="preserve"> i održivog razvoja</w:t>
      </w:r>
      <w:r w:rsidRPr="00B977E0">
        <w:rPr>
          <w:rFonts w:ascii="Times New Roman" w:eastAsia="Times New Roman" w:hAnsi="Times New Roman"/>
          <w:lang w:eastAsia="hr-HR"/>
        </w:rPr>
        <w:t xml:space="preserve"> je izradilo Godišnje izvješće o izvozu i uvozu robe vojne namjene i nevojnih </w:t>
      </w:r>
      <w:r w:rsidRPr="00B977E0">
        <w:rPr>
          <w:rFonts w:ascii="Times New Roman" w:eastAsia="Times New Roman" w:hAnsi="Times New Roman"/>
          <w:lang w:eastAsia="hr-HR"/>
        </w:rPr>
        <w:lastRenderedPageBreak/>
        <w:t>ubojnih sredstava za komercijalne svrhe za 20</w:t>
      </w:r>
      <w:r w:rsidR="005F7FDC">
        <w:rPr>
          <w:rFonts w:ascii="Times New Roman" w:eastAsia="Times New Roman" w:hAnsi="Times New Roman"/>
          <w:lang w:eastAsia="hr-HR"/>
        </w:rPr>
        <w:t>21</w:t>
      </w:r>
      <w:r w:rsidRPr="00B977E0">
        <w:rPr>
          <w:rFonts w:ascii="Times New Roman" w:eastAsia="Times New Roman" w:hAnsi="Times New Roman"/>
          <w:lang w:eastAsia="hr-HR"/>
        </w:rPr>
        <w:t>. godinu te ga dostav</w:t>
      </w:r>
      <w:r w:rsidR="00F42DBD" w:rsidRPr="00B977E0">
        <w:rPr>
          <w:rFonts w:ascii="Times New Roman" w:eastAsia="Times New Roman" w:hAnsi="Times New Roman"/>
          <w:lang w:eastAsia="hr-HR"/>
        </w:rPr>
        <w:t>lja</w:t>
      </w:r>
      <w:r w:rsidRPr="00B977E0">
        <w:rPr>
          <w:rFonts w:ascii="Times New Roman" w:eastAsia="Times New Roman" w:hAnsi="Times New Roman"/>
          <w:lang w:eastAsia="hr-HR"/>
        </w:rPr>
        <w:t xml:space="preserve"> Vladi Republike Hrvatske na usvajanje.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t>U 20</w:t>
      </w:r>
      <w:r w:rsidR="005F7FDC">
        <w:rPr>
          <w:rFonts w:ascii="Times New Roman" w:eastAsia="Times New Roman" w:hAnsi="Times New Roman"/>
          <w:bCs/>
          <w:lang w:eastAsia="hr-HR"/>
        </w:rPr>
        <w:t>21</w:t>
      </w:r>
      <w:r>
        <w:rPr>
          <w:rFonts w:ascii="Times New Roman" w:eastAsia="Times New Roman" w:hAnsi="Times New Roman"/>
          <w:bCs/>
          <w:lang w:eastAsia="hr-HR"/>
        </w:rPr>
        <w:t>. godini Ministarstvo gospodarstva</w:t>
      </w:r>
      <w:r w:rsidR="00D30B7E">
        <w:rPr>
          <w:rFonts w:ascii="Times New Roman" w:eastAsia="Times New Roman" w:hAnsi="Times New Roman"/>
          <w:bCs/>
          <w:lang w:eastAsia="hr-HR"/>
        </w:rPr>
        <w:t xml:space="preserve"> i održivog razvoja</w:t>
      </w:r>
      <w:r>
        <w:rPr>
          <w:rFonts w:ascii="Times New Roman" w:eastAsia="Times New Roman" w:hAnsi="Times New Roman"/>
          <w:bCs/>
          <w:lang w:eastAsia="hr-HR"/>
        </w:rPr>
        <w:t xml:space="preserve"> izdalo je ukupno </w:t>
      </w:r>
      <w:r w:rsidR="005F7FDC">
        <w:rPr>
          <w:rFonts w:ascii="Times New Roman" w:eastAsia="Times New Roman" w:hAnsi="Times New Roman"/>
          <w:bCs/>
          <w:lang w:eastAsia="hr-HR"/>
        </w:rPr>
        <w:t>1137</w:t>
      </w:r>
      <w:r w:rsidR="0043153E">
        <w:rPr>
          <w:rFonts w:ascii="Times New Roman" w:eastAsia="Times New Roman" w:hAnsi="Times New Roman"/>
          <w:bCs/>
          <w:lang w:eastAsia="hr-HR"/>
        </w:rPr>
        <w:t xml:space="preserve"> dozvola</w:t>
      </w:r>
      <w:r>
        <w:rPr>
          <w:rFonts w:ascii="Times New Roman" w:eastAsia="Times New Roman" w:hAnsi="Times New Roman"/>
          <w:bCs/>
          <w:lang w:eastAsia="hr-HR"/>
        </w:rPr>
        <w:t xml:space="preserve"> za uvoz, izvoz i prijenos robe vojne namjene i nevojnih ubojnih sredstava.</w:t>
      </w:r>
    </w:p>
    <w:p w:rsidR="00A70088" w:rsidRDefault="00A70088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hr-HR"/>
        </w:rPr>
        <w:t>Osim financijskih pokazatelja, cilj ovoga</w:t>
      </w:r>
      <w:r w:rsidR="00C3331F">
        <w:rPr>
          <w:rFonts w:ascii="Times New Roman" w:eastAsia="Times New Roman" w:hAnsi="Times New Roman"/>
          <w:lang w:eastAsia="hr-HR"/>
        </w:rPr>
        <w:t xml:space="preserve"> </w:t>
      </w:r>
      <w:r w:rsidR="00C3331F" w:rsidRPr="00AB49C6">
        <w:rPr>
          <w:rFonts w:ascii="Times New Roman" w:eastAsia="Times New Roman" w:hAnsi="Times New Roman"/>
          <w:lang w:eastAsia="hr-HR"/>
        </w:rPr>
        <w:t>I</w:t>
      </w:r>
      <w:r>
        <w:rPr>
          <w:rFonts w:ascii="Times New Roman" w:eastAsia="Times New Roman" w:hAnsi="Times New Roman"/>
          <w:lang w:eastAsia="hr-HR"/>
        </w:rPr>
        <w:t>zvješća jest da se na</w:t>
      </w:r>
      <w:r>
        <w:rPr>
          <w:rFonts w:ascii="Times New Roman" w:hAnsi="Times New Roman"/>
        </w:rPr>
        <w:t xml:space="preserve"> transparentan način informira javnost o činjenicama od značaja za nacionalnu sigurnost, vanjsku politiku i gospodarske interese Republike Hrvatske te da se unaprijedi sustav kontrole izvoza i uvoza robe vojne namjene i nevojnih ubojnih sredstava za komercijalne svrhe.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t>Godišnje izvješće za 20</w:t>
      </w:r>
      <w:r w:rsidR="005F7FDC">
        <w:rPr>
          <w:rFonts w:ascii="Times New Roman" w:eastAsia="Times New Roman" w:hAnsi="Times New Roman"/>
          <w:bCs/>
          <w:lang w:eastAsia="hr-HR"/>
        </w:rPr>
        <w:t>21</w:t>
      </w:r>
      <w:r>
        <w:rPr>
          <w:rFonts w:ascii="Times New Roman" w:eastAsia="Times New Roman" w:hAnsi="Times New Roman"/>
          <w:bCs/>
          <w:lang w:eastAsia="hr-HR"/>
        </w:rPr>
        <w:t>. godinu bit će objavljeno na internetskoj stranici Ministarstva gos</w:t>
      </w:r>
      <w:r w:rsidR="0043153E">
        <w:rPr>
          <w:rFonts w:ascii="Times New Roman" w:eastAsia="Times New Roman" w:hAnsi="Times New Roman"/>
          <w:bCs/>
          <w:lang w:eastAsia="hr-HR"/>
        </w:rPr>
        <w:t>podarstva i održivog razvoja</w:t>
      </w:r>
      <w:r>
        <w:rPr>
          <w:rFonts w:ascii="Times New Roman" w:eastAsia="Times New Roman" w:hAnsi="Times New Roman"/>
          <w:bCs/>
          <w:lang w:eastAsia="hr-HR"/>
        </w:rPr>
        <w:t>.</w:t>
      </w:r>
    </w:p>
    <w:p w:rsidR="0021326B" w:rsidRDefault="0021326B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</w:p>
    <w:p w:rsidR="0021326B" w:rsidRDefault="00DB3F69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hr-HR"/>
        </w:rPr>
        <w:t xml:space="preserve">Godišnja izvješća o izvozu i uvozu robe vojne namjene i nevojnih ubojnih sredstava za komercijalne svrhe objavljuju se bez povjerljivih podataka, odnosno imena tvrtki i pojedinačnih financijskih pokazatelja te drugih povjerljivih podataka. </w:t>
      </w:r>
    </w:p>
    <w:p w:rsidR="0021326B" w:rsidRDefault="0021326B">
      <w:pPr>
        <w:spacing w:before="200" w:after="200" w:line="276" w:lineRule="auto"/>
        <w:jc w:val="both"/>
        <w:rPr>
          <w:rFonts w:ascii="Times New Roman" w:eastAsia="Times New Roman" w:hAnsi="Times New Roman"/>
          <w:bCs/>
          <w:lang w:eastAsia="hr-HR"/>
        </w:rPr>
      </w:pPr>
    </w:p>
    <w:p w:rsidR="0021326B" w:rsidRDefault="0021326B">
      <w:pPr>
        <w:jc w:val="both"/>
        <w:rPr>
          <w:rFonts w:ascii="Times New Roman" w:hAnsi="Times New Roman"/>
          <w:b/>
        </w:rPr>
      </w:pPr>
    </w:p>
    <w:p w:rsidR="0021326B" w:rsidRDefault="0021326B">
      <w:pPr>
        <w:rPr>
          <w:rFonts w:ascii="Times New Roman" w:hAnsi="Times New Roman"/>
        </w:rPr>
      </w:pPr>
    </w:p>
    <w:sectPr w:rsidR="0021326B" w:rsidSect="00CB12B1">
      <w:footerReference w:type="default" r:id="rId11"/>
      <w:pgSz w:w="11906" w:h="16838"/>
      <w:pgMar w:top="1134" w:right="1440" w:bottom="1440" w:left="1440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4A" w:rsidRDefault="0092154A">
      <w:r>
        <w:separator/>
      </w:r>
    </w:p>
  </w:endnote>
  <w:endnote w:type="continuationSeparator" w:id="0">
    <w:p w:rsidR="0092154A" w:rsidRDefault="0092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26B" w:rsidRPr="00660BF1" w:rsidRDefault="00143A39">
    <w:pPr>
      <w:pStyle w:val="Footer"/>
      <w:jc w:val="center"/>
      <w:rPr>
        <w:rFonts w:ascii="Times New Roman" w:hAnsi="Times New Roman"/>
      </w:rPr>
    </w:pPr>
    <w:r w:rsidRPr="00660BF1">
      <w:rPr>
        <w:rFonts w:ascii="Times New Roman" w:hAnsi="Times New Roman"/>
      </w:rPr>
      <w:fldChar w:fldCharType="begin"/>
    </w:r>
    <w:r w:rsidR="00DB3F69" w:rsidRPr="00660BF1">
      <w:rPr>
        <w:rFonts w:ascii="Times New Roman" w:hAnsi="Times New Roman"/>
      </w:rPr>
      <w:instrText>PAGE   \* MERGEFORMAT</w:instrText>
    </w:r>
    <w:r w:rsidRPr="00660BF1">
      <w:rPr>
        <w:rFonts w:ascii="Times New Roman" w:hAnsi="Times New Roman"/>
      </w:rPr>
      <w:fldChar w:fldCharType="separate"/>
    </w:r>
    <w:r w:rsidR="00873C77">
      <w:rPr>
        <w:rFonts w:ascii="Times New Roman" w:hAnsi="Times New Roman"/>
        <w:noProof/>
      </w:rPr>
      <w:t>2</w:t>
    </w:r>
    <w:r w:rsidRPr="00660BF1">
      <w:rPr>
        <w:rFonts w:ascii="Times New Roman" w:hAnsi="Times New Roman"/>
      </w:rPr>
      <w:fldChar w:fldCharType="end"/>
    </w:r>
  </w:p>
  <w:p w:rsidR="0021326B" w:rsidRPr="00660BF1" w:rsidRDefault="0021326B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4A" w:rsidRDefault="0092154A">
      <w:r>
        <w:separator/>
      </w:r>
    </w:p>
  </w:footnote>
  <w:footnote w:type="continuationSeparator" w:id="0">
    <w:p w:rsidR="0092154A" w:rsidRDefault="00921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33C3"/>
    <w:multiLevelType w:val="hybridMultilevel"/>
    <w:tmpl w:val="0792E0E4"/>
    <w:lvl w:ilvl="0" w:tplc="17B62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9EA3338" w:tentative="1">
      <w:start w:val="1"/>
      <w:numFmt w:val="lowerLetter"/>
      <w:lvlText w:val="%2."/>
      <w:lvlJc w:val="left"/>
      <w:pPr>
        <w:ind w:left="1788" w:hanging="360"/>
      </w:pPr>
    </w:lvl>
    <w:lvl w:ilvl="2" w:tplc="5E22CCA8" w:tentative="1">
      <w:start w:val="1"/>
      <w:numFmt w:val="lowerRoman"/>
      <w:lvlText w:val="%3."/>
      <w:lvlJc w:val="right"/>
      <w:pPr>
        <w:ind w:left="2508" w:hanging="180"/>
      </w:pPr>
    </w:lvl>
    <w:lvl w:ilvl="3" w:tplc="F00ED274" w:tentative="1">
      <w:start w:val="1"/>
      <w:numFmt w:val="decimal"/>
      <w:lvlText w:val="%4."/>
      <w:lvlJc w:val="left"/>
      <w:pPr>
        <w:ind w:left="3228" w:hanging="360"/>
      </w:pPr>
    </w:lvl>
    <w:lvl w:ilvl="4" w:tplc="482655EA" w:tentative="1">
      <w:start w:val="1"/>
      <w:numFmt w:val="lowerLetter"/>
      <w:lvlText w:val="%5."/>
      <w:lvlJc w:val="left"/>
      <w:pPr>
        <w:ind w:left="3948" w:hanging="360"/>
      </w:pPr>
    </w:lvl>
    <w:lvl w:ilvl="5" w:tplc="6D8AB938" w:tentative="1">
      <w:start w:val="1"/>
      <w:numFmt w:val="lowerRoman"/>
      <w:lvlText w:val="%6."/>
      <w:lvlJc w:val="right"/>
      <w:pPr>
        <w:ind w:left="4668" w:hanging="180"/>
      </w:pPr>
    </w:lvl>
    <w:lvl w:ilvl="6" w:tplc="1020D8B0" w:tentative="1">
      <w:start w:val="1"/>
      <w:numFmt w:val="decimal"/>
      <w:lvlText w:val="%7."/>
      <w:lvlJc w:val="left"/>
      <w:pPr>
        <w:ind w:left="5388" w:hanging="360"/>
      </w:pPr>
    </w:lvl>
    <w:lvl w:ilvl="7" w:tplc="69681CAA" w:tentative="1">
      <w:start w:val="1"/>
      <w:numFmt w:val="lowerLetter"/>
      <w:lvlText w:val="%8."/>
      <w:lvlJc w:val="left"/>
      <w:pPr>
        <w:ind w:left="6108" w:hanging="360"/>
      </w:pPr>
    </w:lvl>
    <w:lvl w:ilvl="8" w:tplc="E4868D4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A470ED"/>
    <w:multiLevelType w:val="multilevel"/>
    <w:tmpl w:val="E5767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A1F3CDB"/>
    <w:multiLevelType w:val="hybridMultilevel"/>
    <w:tmpl w:val="E25A401C"/>
    <w:lvl w:ilvl="0" w:tplc="D8A6EB2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E0607F9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42C595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929B5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F42AA8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752E37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9806D0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B4528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54E5A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647942"/>
    <w:multiLevelType w:val="hybridMultilevel"/>
    <w:tmpl w:val="7A9A03D4"/>
    <w:lvl w:ilvl="0" w:tplc="16983F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0830E4" w:tentative="1">
      <w:start w:val="1"/>
      <w:numFmt w:val="lowerLetter"/>
      <w:lvlText w:val="%2."/>
      <w:lvlJc w:val="left"/>
      <w:pPr>
        <w:ind w:left="1440" w:hanging="360"/>
      </w:pPr>
    </w:lvl>
    <w:lvl w:ilvl="2" w:tplc="057E1836" w:tentative="1">
      <w:start w:val="1"/>
      <w:numFmt w:val="lowerRoman"/>
      <w:lvlText w:val="%3."/>
      <w:lvlJc w:val="right"/>
      <w:pPr>
        <w:ind w:left="2160" w:hanging="180"/>
      </w:pPr>
    </w:lvl>
    <w:lvl w:ilvl="3" w:tplc="2B3CE80C" w:tentative="1">
      <w:start w:val="1"/>
      <w:numFmt w:val="decimal"/>
      <w:lvlText w:val="%4."/>
      <w:lvlJc w:val="left"/>
      <w:pPr>
        <w:ind w:left="2880" w:hanging="360"/>
      </w:pPr>
    </w:lvl>
    <w:lvl w:ilvl="4" w:tplc="CBB69C30" w:tentative="1">
      <w:start w:val="1"/>
      <w:numFmt w:val="lowerLetter"/>
      <w:lvlText w:val="%5."/>
      <w:lvlJc w:val="left"/>
      <w:pPr>
        <w:ind w:left="3600" w:hanging="360"/>
      </w:pPr>
    </w:lvl>
    <w:lvl w:ilvl="5" w:tplc="8B9C7DF2" w:tentative="1">
      <w:start w:val="1"/>
      <w:numFmt w:val="lowerRoman"/>
      <w:lvlText w:val="%6."/>
      <w:lvlJc w:val="right"/>
      <w:pPr>
        <w:ind w:left="4320" w:hanging="180"/>
      </w:pPr>
    </w:lvl>
    <w:lvl w:ilvl="6" w:tplc="0EEE1958" w:tentative="1">
      <w:start w:val="1"/>
      <w:numFmt w:val="decimal"/>
      <w:lvlText w:val="%7."/>
      <w:lvlJc w:val="left"/>
      <w:pPr>
        <w:ind w:left="5040" w:hanging="360"/>
      </w:pPr>
    </w:lvl>
    <w:lvl w:ilvl="7" w:tplc="BF047BAE" w:tentative="1">
      <w:start w:val="1"/>
      <w:numFmt w:val="lowerLetter"/>
      <w:lvlText w:val="%8."/>
      <w:lvlJc w:val="left"/>
      <w:pPr>
        <w:ind w:left="5760" w:hanging="360"/>
      </w:pPr>
    </w:lvl>
    <w:lvl w:ilvl="8" w:tplc="273A5E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33"/>
    <w:rsid w:val="000076BA"/>
    <w:rsid w:val="00007D32"/>
    <w:rsid w:val="00011BAA"/>
    <w:rsid w:val="00021A56"/>
    <w:rsid w:val="00037F79"/>
    <w:rsid w:val="00047B47"/>
    <w:rsid w:val="0005403B"/>
    <w:rsid w:val="00065A60"/>
    <w:rsid w:val="00066847"/>
    <w:rsid w:val="00070EDA"/>
    <w:rsid w:val="00075836"/>
    <w:rsid w:val="000831C0"/>
    <w:rsid w:val="0008770E"/>
    <w:rsid w:val="000A3B6C"/>
    <w:rsid w:val="000A3D8A"/>
    <w:rsid w:val="000C0D7D"/>
    <w:rsid w:val="000D167F"/>
    <w:rsid w:val="000D1BD1"/>
    <w:rsid w:val="000D4812"/>
    <w:rsid w:val="000D4E29"/>
    <w:rsid w:val="000E72F5"/>
    <w:rsid w:val="001058D1"/>
    <w:rsid w:val="00110C9F"/>
    <w:rsid w:val="00113E9D"/>
    <w:rsid w:val="00115100"/>
    <w:rsid w:val="00123DE3"/>
    <w:rsid w:val="001325D6"/>
    <w:rsid w:val="001331D4"/>
    <w:rsid w:val="001431E8"/>
    <w:rsid w:val="00143A39"/>
    <w:rsid w:val="00143A4B"/>
    <w:rsid w:val="001442FE"/>
    <w:rsid w:val="00152074"/>
    <w:rsid w:val="00155C43"/>
    <w:rsid w:val="001602DA"/>
    <w:rsid w:val="001662B1"/>
    <w:rsid w:val="00166C3D"/>
    <w:rsid w:val="001674C1"/>
    <w:rsid w:val="001723DD"/>
    <w:rsid w:val="001A0671"/>
    <w:rsid w:val="001A2E83"/>
    <w:rsid w:val="001A36FB"/>
    <w:rsid w:val="001C2536"/>
    <w:rsid w:val="001C3A42"/>
    <w:rsid w:val="001D2149"/>
    <w:rsid w:val="001D75EC"/>
    <w:rsid w:val="001E1EF8"/>
    <w:rsid w:val="001F31C2"/>
    <w:rsid w:val="001F32D6"/>
    <w:rsid w:val="00200F67"/>
    <w:rsid w:val="00201FFF"/>
    <w:rsid w:val="00206F29"/>
    <w:rsid w:val="00210D6C"/>
    <w:rsid w:val="0021326B"/>
    <w:rsid w:val="00213752"/>
    <w:rsid w:val="0022496B"/>
    <w:rsid w:val="002270A6"/>
    <w:rsid w:val="002278D5"/>
    <w:rsid w:val="00232919"/>
    <w:rsid w:val="00232BAF"/>
    <w:rsid w:val="00237C85"/>
    <w:rsid w:val="00245292"/>
    <w:rsid w:val="00254CA1"/>
    <w:rsid w:val="0025697D"/>
    <w:rsid w:val="002717A2"/>
    <w:rsid w:val="00275B33"/>
    <w:rsid w:val="00290665"/>
    <w:rsid w:val="002C520A"/>
    <w:rsid w:val="002D04FB"/>
    <w:rsid w:val="002E3842"/>
    <w:rsid w:val="002E3C0A"/>
    <w:rsid w:val="0030332D"/>
    <w:rsid w:val="00317ADB"/>
    <w:rsid w:val="00334806"/>
    <w:rsid w:val="00345A97"/>
    <w:rsid w:val="003502E3"/>
    <w:rsid w:val="00363DFE"/>
    <w:rsid w:val="00372D05"/>
    <w:rsid w:val="003810AF"/>
    <w:rsid w:val="00382395"/>
    <w:rsid w:val="003A44E5"/>
    <w:rsid w:val="003B1606"/>
    <w:rsid w:val="003B5D3F"/>
    <w:rsid w:val="003B5DE3"/>
    <w:rsid w:val="003C1EC4"/>
    <w:rsid w:val="003E248D"/>
    <w:rsid w:val="003E2A13"/>
    <w:rsid w:val="00416B4D"/>
    <w:rsid w:val="0042268D"/>
    <w:rsid w:val="00422F32"/>
    <w:rsid w:val="0043153E"/>
    <w:rsid w:val="0043308F"/>
    <w:rsid w:val="0043677B"/>
    <w:rsid w:val="0044370B"/>
    <w:rsid w:val="00443804"/>
    <w:rsid w:val="00443F87"/>
    <w:rsid w:val="00476708"/>
    <w:rsid w:val="00477B7B"/>
    <w:rsid w:val="00484CDB"/>
    <w:rsid w:val="004856E1"/>
    <w:rsid w:val="0049076F"/>
    <w:rsid w:val="00490CAD"/>
    <w:rsid w:val="0049499F"/>
    <w:rsid w:val="004C0A5F"/>
    <w:rsid w:val="004C235A"/>
    <w:rsid w:val="004C2510"/>
    <w:rsid w:val="004D32A5"/>
    <w:rsid w:val="004F2342"/>
    <w:rsid w:val="004F5503"/>
    <w:rsid w:val="004F6668"/>
    <w:rsid w:val="005007E0"/>
    <w:rsid w:val="0050364A"/>
    <w:rsid w:val="00510779"/>
    <w:rsid w:val="00511F13"/>
    <w:rsid w:val="00515575"/>
    <w:rsid w:val="00515629"/>
    <w:rsid w:val="00530478"/>
    <w:rsid w:val="00530E33"/>
    <w:rsid w:val="00533CD5"/>
    <w:rsid w:val="00553510"/>
    <w:rsid w:val="00553A18"/>
    <w:rsid w:val="005540C7"/>
    <w:rsid w:val="00556BB3"/>
    <w:rsid w:val="005631B9"/>
    <w:rsid w:val="00570776"/>
    <w:rsid w:val="005827C8"/>
    <w:rsid w:val="00586D52"/>
    <w:rsid w:val="00586EF8"/>
    <w:rsid w:val="00593844"/>
    <w:rsid w:val="005978A9"/>
    <w:rsid w:val="00597F46"/>
    <w:rsid w:val="005A26C2"/>
    <w:rsid w:val="005B07E1"/>
    <w:rsid w:val="005B53CE"/>
    <w:rsid w:val="005C3743"/>
    <w:rsid w:val="005F048D"/>
    <w:rsid w:val="005F7FDC"/>
    <w:rsid w:val="00610112"/>
    <w:rsid w:val="00635713"/>
    <w:rsid w:val="00651C09"/>
    <w:rsid w:val="00660BF1"/>
    <w:rsid w:val="006933CF"/>
    <w:rsid w:val="006A06FB"/>
    <w:rsid w:val="006C4722"/>
    <w:rsid w:val="006C6631"/>
    <w:rsid w:val="006D3963"/>
    <w:rsid w:val="006D688A"/>
    <w:rsid w:val="006F0AF5"/>
    <w:rsid w:val="006F6781"/>
    <w:rsid w:val="006F7D90"/>
    <w:rsid w:val="00703FAE"/>
    <w:rsid w:val="00705691"/>
    <w:rsid w:val="00736405"/>
    <w:rsid w:val="00742704"/>
    <w:rsid w:val="007736B0"/>
    <w:rsid w:val="007749D1"/>
    <w:rsid w:val="00776D16"/>
    <w:rsid w:val="00783D23"/>
    <w:rsid w:val="007A1FA4"/>
    <w:rsid w:val="007A4872"/>
    <w:rsid w:val="007B054E"/>
    <w:rsid w:val="007B4979"/>
    <w:rsid w:val="007C1446"/>
    <w:rsid w:val="007E5FB4"/>
    <w:rsid w:val="007E7F08"/>
    <w:rsid w:val="007F4A6F"/>
    <w:rsid w:val="0081703F"/>
    <w:rsid w:val="008222DE"/>
    <w:rsid w:val="0082499B"/>
    <w:rsid w:val="00830276"/>
    <w:rsid w:val="00830C7E"/>
    <w:rsid w:val="00837217"/>
    <w:rsid w:val="00843A3C"/>
    <w:rsid w:val="00846F4E"/>
    <w:rsid w:val="008718EF"/>
    <w:rsid w:val="00873C77"/>
    <w:rsid w:val="00883D79"/>
    <w:rsid w:val="00891219"/>
    <w:rsid w:val="008C0A37"/>
    <w:rsid w:val="008C4D5B"/>
    <w:rsid w:val="008D0213"/>
    <w:rsid w:val="008D2CAB"/>
    <w:rsid w:val="008E519A"/>
    <w:rsid w:val="008F0772"/>
    <w:rsid w:val="008F4734"/>
    <w:rsid w:val="008F70A5"/>
    <w:rsid w:val="008F7A03"/>
    <w:rsid w:val="008F7BE6"/>
    <w:rsid w:val="00901A6D"/>
    <w:rsid w:val="009201E0"/>
    <w:rsid w:val="0092154A"/>
    <w:rsid w:val="00933E46"/>
    <w:rsid w:val="00934F8B"/>
    <w:rsid w:val="00945E70"/>
    <w:rsid w:val="0096628C"/>
    <w:rsid w:val="00975187"/>
    <w:rsid w:val="00986184"/>
    <w:rsid w:val="00987B6F"/>
    <w:rsid w:val="00991846"/>
    <w:rsid w:val="009A1624"/>
    <w:rsid w:val="009D198D"/>
    <w:rsid w:val="009D4006"/>
    <w:rsid w:val="009E1049"/>
    <w:rsid w:val="00A271FA"/>
    <w:rsid w:val="00A27DC2"/>
    <w:rsid w:val="00A330F1"/>
    <w:rsid w:val="00A37823"/>
    <w:rsid w:val="00A46355"/>
    <w:rsid w:val="00A622FD"/>
    <w:rsid w:val="00A6424A"/>
    <w:rsid w:val="00A70088"/>
    <w:rsid w:val="00A708C7"/>
    <w:rsid w:val="00A9721C"/>
    <w:rsid w:val="00AA4720"/>
    <w:rsid w:val="00AB49C6"/>
    <w:rsid w:val="00AF03B3"/>
    <w:rsid w:val="00B07791"/>
    <w:rsid w:val="00B33C0C"/>
    <w:rsid w:val="00B3509D"/>
    <w:rsid w:val="00B63B33"/>
    <w:rsid w:val="00B72163"/>
    <w:rsid w:val="00B73FFC"/>
    <w:rsid w:val="00B80C77"/>
    <w:rsid w:val="00B86593"/>
    <w:rsid w:val="00B94606"/>
    <w:rsid w:val="00B947E2"/>
    <w:rsid w:val="00B95669"/>
    <w:rsid w:val="00B977E0"/>
    <w:rsid w:val="00BB2F9D"/>
    <w:rsid w:val="00BB54EF"/>
    <w:rsid w:val="00BC1253"/>
    <w:rsid w:val="00BD2993"/>
    <w:rsid w:val="00BF01E8"/>
    <w:rsid w:val="00C048A6"/>
    <w:rsid w:val="00C15BCA"/>
    <w:rsid w:val="00C2256D"/>
    <w:rsid w:val="00C32181"/>
    <w:rsid w:val="00C3331F"/>
    <w:rsid w:val="00C576AA"/>
    <w:rsid w:val="00C6218A"/>
    <w:rsid w:val="00C6413F"/>
    <w:rsid w:val="00C6442C"/>
    <w:rsid w:val="00C80689"/>
    <w:rsid w:val="00C909C3"/>
    <w:rsid w:val="00CA444E"/>
    <w:rsid w:val="00CB0110"/>
    <w:rsid w:val="00CB12B1"/>
    <w:rsid w:val="00CB2082"/>
    <w:rsid w:val="00CC6F9A"/>
    <w:rsid w:val="00CD34B7"/>
    <w:rsid w:val="00CF5FC1"/>
    <w:rsid w:val="00D006B1"/>
    <w:rsid w:val="00D05C68"/>
    <w:rsid w:val="00D10893"/>
    <w:rsid w:val="00D13ED4"/>
    <w:rsid w:val="00D30B7E"/>
    <w:rsid w:val="00D31910"/>
    <w:rsid w:val="00D44714"/>
    <w:rsid w:val="00D45B97"/>
    <w:rsid w:val="00D51840"/>
    <w:rsid w:val="00D5618E"/>
    <w:rsid w:val="00D77FDD"/>
    <w:rsid w:val="00D840B1"/>
    <w:rsid w:val="00DA1E59"/>
    <w:rsid w:val="00DA2B69"/>
    <w:rsid w:val="00DA2D0C"/>
    <w:rsid w:val="00DB3F69"/>
    <w:rsid w:val="00DC4210"/>
    <w:rsid w:val="00DE0437"/>
    <w:rsid w:val="00DE14DB"/>
    <w:rsid w:val="00DF4F50"/>
    <w:rsid w:val="00E07AC6"/>
    <w:rsid w:val="00E12F88"/>
    <w:rsid w:val="00E12FB6"/>
    <w:rsid w:val="00E15758"/>
    <w:rsid w:val="00E33BE9"/>
    <w:rsid w:val="00E479AB"/>
    <w:rsid w:val="00E708CC"/>
    <w:rsid w:val="00E82E77"/>
    <w:rsid w:val="00EA7B9D"/>
    <w:rsid w:val="00EC3EF1"/>
    <w:rsid w:val="00EC5F2D"/>
    <w:rsid w:val="00EC7083"/>
    <w:rsid w:val="00EE7FE4"/>
    <w:rsid w:val="00EF1A8F"/>
    <w:rsid w:val="00F002F1"/>
    <w:rsid w:val="00F02D70"/>
    <w:rsid w:val="00F1531F"/>
    <w:rsid w:val="00F31727"/>
    <w:rsid w:val="00F42DBD"/>
    <w:rsid w:val="00F51AD0"/>
    <w:rsid w:val="00F625C8"/>
    <w:rsid w:val="00F869AA"/>
    <w:rsid w:val="00F91724"/>
    <w:rsid w:val="00FC7FBA"/>
    <w:rsid w:val="00FE38D0"/>
    <w:rsid w:val="00FE3F71"/>
    <w:rsid w:val="00FF766E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FC5E"/>
  <w15:docId w15:val="{51F59AFE-88BF-4E1A-A622-AFAA8E5D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2B1"/>
    <w:pPr>
      <w:spacing w:after="0" w:line="240" w:lineRule="auto"/>
    </w:pPr>
    <w:rPr>
      <w:rFonts w:eastAsiaTheme="minorEastAsia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2B1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2B1"/>
    <w:pPr>
      <w:keepNext/>
      <w:ind w:left="851" w:hanging="425"/>
      <w:jc w:val="both"/>
      <w:outlineLvl w:val="1"/>
    </w:pPr>
    <w:rPr>
      <w:rFonts w:asciiTheme="majorHAnsi" w:eastAsiaTheme="majorEastAsia" w:hAnsiTheme="majorHAnsi" w:cstheme="majorBidi"/>
      <w:bCs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2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2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2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2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2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2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2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2B1"/>
    <w:rPr>
      <w:rFonts w:asciiTheme="majorHAnsi" w:eastAsiaTheme="majorEastAsia" w:hAnsiTheme="majorHAnsi" w:cstheme="majorBidi"/>
      <w:sz w:val="24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CB12B1"/>
    <w:rPr>
      <w:rFonts w:asciiTheme="majorHAnsi" w:eastAsiaTheme="majorEastAsia" w:hAnsiTheme="majorHAnsi" w:cstheme="majorBidi"/>
      <w:bCs/>
      <w:iCs/>
      <w:sz w:val="24"/>
      <w:szCs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CB12B1"/>
    <w:pPr>
      <w:spacing w:before="240" w:after="60"/>
      <w:jc w:val="center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12B1"/>
    <w:rPr>
      <w:rFonts w:asciiTheme="majorHAnsi" w:eastAsiaTheme="majorEastAsia" w:hAnsiTheme="majorHAnsi" w:cstheme="majorBidi"/>
      <w:b/>
      <w:bCs/>
      <w:sz w:val="28"/>
      <w:szCs w:val="32"/>
      <w:lang w:val="hr-HR"/>
    </w:rPr>
  </w:style>
  <w:style w:type="paragraph" w:styleId="ListParagraph">
    <w:name w:val="List Paragraph"/>
    <w:basedOn w:val="Normal"/>
    <w:uiPriority w:val="34"/>
    <w:qFormat/>
    <w:rsid w:val="00CB1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2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B1"/>
    <w:rPr>
      <w:rFonts w:eastAsiaTheme="minorEastAsia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B12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B1"/>
    <w:rPr>
      <w:rFonts w:eastAsiaTheme="minorEastAsia" w:cs="Times New Roman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CB12B1"/>
    <w:rPr>
      <w:color w:val="0000FF" w:themeColor="hyperlink"/>
      <w:u w:val="single"/>
    </w:rPr>
  </w:style>
  <w:style w:type="table" w:customStyle="1" w:styleId="TableGrid21">
    <w:name w:val="Table Grid21"/>
    <w:basedOn w:val="TableNormal"/>
    <w:uiPriority w:val="59"/>
    <w:rsid w:val="00CB12B1"/>
    <w:pPr>
      <w:spacing w:after="0" w:line="240" w:lineRule="auto"/>
    </w:pPr>
    <w:rPr>
      <w:rFonts w:eastAsiaTheme="minorEastAsia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B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B1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B1"/>
    <w:rPr>
      <w:rFonts w:ascii="Tahoma" w:eastAsiaTheme="minorEastAsia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CB12B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B12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B12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B12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B12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B12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B12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B12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2B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12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B12B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B12B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B12B1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B12B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B12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B12B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2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2B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B12B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B12B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B12B1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12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12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12B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12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12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12B1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B12B1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12B1"/>
    <w:rPr>
      <w:rFonts w:ascii="Courier New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50E-4B97-98BA-91BD6249A7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2020. godina</c:v>
                </c:pt>
                <c:pt idx="1">
                  <c:v>2021. godina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986</c:v>
                </c:pt>
                <c:pt idx="1">
                  <c:v>1137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49-4019-8121-65DE84BCA5F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2020. godina</c:v>
                </c:pt>
                <c:pt idx="1">
                  <c:v>2021. godina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1-5549-4019-8121-65DE84BCA5F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2020. godina</c:v>
                </c:pt>
                <c:pt idx="1">
                  <c:v>2021. godina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2-5549-4019-8121-65DE84BCA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7510528"/>
        <c:axId val="119499776"/>
      </c:barChart>
      <c:catAx>
        <c:axId val="975105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9499776"/>
        <c:crosses val="autoZero"/>
        <c:auto val="1"/>
        <c:lblAlgn val="ctr"/>
        <c:lblOffset val="100"/>
        <c:tickLblSkip val="1"/>
        <c:noMultiLvlLbl val="0"/>
      </c:catAx>
      <c:valAx>
        <c:axId val="11949977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751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Izvoz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2020. godina</c:v>
                </c:pt>
                <c:pt idx="1">
                  <c:v>2021. godina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 formatCode="General">
                  <c:v>834.73500000000001</c:v>
                </c:pt>
                <c:pt idx="1">
                  <c:v>1136.653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DF-4502-A050-7360695009E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Uvoz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2020. godina</c:v>
                </c:pt>
                <c:pt idx="1">
                  <c:v>2021. godina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128.59399999999999</c:v>
                </c:pt>
                <c:pt idx="1">
                  <c:v>161.32599999999999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DF-4502-A050-7360695009E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2020. godina</c:v>
                </c:pt>
                <c:pt idx="1">
                  <c:v>2021. godina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2-34DF-4502-A050-736069500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74720"/>
        <c:axId val="49627904"/>
      </c:barChart>
      <c:catAx>
        <c:axId val="4777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9627904"/>
        <c:crosses val="autoZero"/>
        <c:auto val="1"/>
        <c:lblAlgn val="ctr"/>
        <c:lblOffset val="100"/>
        <c:noMultiLvlLbl val="0"/>
      </c:catAx>
      <c:valAx>
        <c:axId val="4962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774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BB42B-5AB5-4BCC-8D00-A2A7E4F6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Senada Džafović</cp:lastModifiedBy>
  <cp:revision>4</cp:revision>
  <cp:lastPrinted>2022-05-06T08:13:00Z</cp:lastPrinted>
  <dcterms:created xsi:type="dcterms:W3CDTF">2022-07-06T07:59:00Z</dcterms:created>
  <dcterms:modified xsi:type="dcterms:W3CDTF">2022-07-06T08:07:00Z</dcterms:modified>
</cp:coreProperties>
</file>